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48950" w14:textId="77777777" w:rsidR="00902BAD" w:rsidRDefault="00902BAD" w:rsidP="00824313"/>
    <w:p w14:paraId="775C266A" w14:textId="2D61FBD2" w:rsidR="00824313" w:rsidRPr="00CA5788" w:rsidRDefault="00BB6979" w:rsidP="00824313">
      <w:r>
        <w:t>Mai</w:t>
      </w:r>
      <w:r w:rsidR="00F801DA">
        <w:t xml:space="preserve"> </w:t>
      </w:r>
      <w:r w:rsidR="00D271BC">
        <w:t>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le"/>
      </w:pPr>
    </w:p>
    <w:p w14:paraId="1F921753" w14:textId="77777777" w:rsidR="00824313" w:rsidRPr="00CA5788" w:rsidRDefault="00824313" w:rsidP="00824313"/>
    <w:p w14:paraId="429582AD" w14:textId="77777777" w:rsidR="00824313" w:rsidRPr="00CA5788" w:rsidRDefault="00824313" w:rsidP="00824313"/>
    <w:p w14:paraId="50F1CE19" w14:textId="304AC1E8" w:rsidR="00052A43" w:rsidRDefault="00824313" w:rsidP="00824313">
      <w:pPr>
        <w:pStyle w:val="Title"/>
      </w:pPr>
      <w:r>
        <w:t xml:space="preserve">Nouveautés de la version </w:t>
      </w:r>
      <w:r w:rsidR="00CF68B3">
        <w:t>3.</w:t>
      </w:r>
      <w:r w:rsidR="0093098E">
        <w:t>2</w:t>
      </w:r>
      <w:r w:rsidR="00542CAD">
        <w:t>6</w:t>
      </w:r>
    </w:p>
    <w:p w14:paraId="0AD267C6" w14:textId="77777777" w:rsidR="00824313" w:rsidRPr="00CA5788" w:rsidRDefault="00824313" w:rsidP="00824313">
      <w:pPr>
        <w:pStyle w:val="Title"/>
      </w:pPr>
    </w:p>
    <w:p w14:paraId="44E3C4F0" w14:textId="77777777" w:rsidR="00824313" w:rsidRPr="00CA5788" w:rsidRDefault="00824313" w:rsidP="00824313">
      <w:pPr>
        <w:pStyle w:val="Titl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w:t>
      </w:r>
      <w:proofErr w:type="spellStart"/>
      <w:r w:rsidR="008C6888">
        <w:t>MariaDB</w:t>
      </w:r>
      <w:proofErr w:type="spellEnd"/>
      <w:r w:rsidR="008C6888">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06990F1B" w14:textId="2147E882" w:rsidR="00542CAD" w:rsidRDefault="00542CAD">
      <w:pPr>
        <w:spacing w:after="160" w:line="259" w:lineRule="auto"/>
        <w:jc w:val="left"/>
      </w:pPr>
      <w:r>
        <w:br w:type="page"/>
      </w:r>
    </w:p>
    <w:p w14:paraId="183CF1C1" w14:textId="5EDB1A93" w:rsidR="00314E8F" w:rsidRDefault="00314E8F" w:rsidP="00314E8F">
      <w:pPr>
        <w:pStyle w:val="Heading1"/>
      </w:pPr>
      <w:r>
        <w:t>Général</w:t>
      </w:r>
    </w:p>
    <w:p w14:paraId="7513331B" w14:textId="577DE15E" w:rsidR="00314E8F" w:rsidRDefault="00314E8F" w:rsidP="00314E8F">
      <w:pPr>
        <w:pStyle w:val="Heading2"/>
      </w:pPr>
      <w:r>
        <w:t>EG01A : Les écrans harmonisés afficheront dorénavant, en infobulle du bouton "modification", l'utilisateur et la date de dernière modification de la ligne pour les utilisateurs ayant accès à l'écran "Outils &gt; Audits &gt; des saisies" - uniquement en affichage "tableau" (non en mode "carte") [Mantis #4976]</w:t>
      </w:r>
    </w:p>
    <w:p w14:paraId="572E1A2E" w14:textId="67A0877D" w:rsidR="00051031" w:rsidRDefault="004D14F2" w:rsidP="00051031">
      <w:r>
        <w:t>Exemple d’un écran harmonisé : « Formation &gt; Administration &gt; Emplois &gt; Emplois</w:t>
      </w:r>
      <w:r w:rsidR="000D5A48">
        <w:t> »</w:t>
      </w:r>
      <w:r w:rsidR="00EA7963">
        <w:t xml:space="preserve">. </w:t>
      </w:r>
    </w:p>
    <w:p w14:paraId="02904860" w14:textId="4805FD28" w:rsidR="003D3832" w:rsidRPr="00051031" w:rsidRDefault="003D3832" w:rsidP="00051031">
      <w:r>
        <w:rPr>
          <w:noProof/>
        </w:rPr>
        <w:drawing>
          <wp:inline distT="0" distB="0" distL="0" distR="0" wp14:anchorId="28CDBA1B" wp14:editId="0F3018A4">
            <wp:extent cx="5760720" cy="21628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162810"/>
                    </a:xfrm>
                    <a:prstGeom prst="rect">
                      <a:avLst/>
                    </a:prstGeom>
                  </pic:spPr>
                </pic:pic>
              </a:graphicData>
            </a:graphic>
          </wp:inline>
        </w:drawing>
      </w:r>
    </w:p>
    <w:p w14:paraId="7C9C8346" w14:textId="6A38E7A6" w:rsidR="00314E8F" w:rsidRDefault="00314E8F" w:rsidP="00314E8F">
      <w:pPr>
        <w:pStyle w:val="Heading2"/>
      </w:pPr>
      <w:r>
        <w:t>EG01B : Les écrans harmonisés afficheront dorénavant un bouton "Utilisation (Vie des carrières)" pour les tables à clé unique et les utilisateurs ayant accès à l'écran "GRH &gt; Liste de contrôle &gt; Vie des carrières" et les lignes ne pouvant être supprimée afin d'avoir un accès rapide à la liste des tables filles bloquant la suppression (feu vert dans la liste) - uniquement en affichage "tableau" (non en mode "carte") [Mantis #4976]</w:t>
      </w:r>
    </w:p>
    <w:p w14:paraId="09A08D3E" w14:textId="1D6941A3" w:rsidR="00CA77D6" w:rsidRDefault="00E135AD" w:rsidP="003D3832">
      <w:r>
        <w:t>Cliquer sur le bouton</w:t>
      </w:r>
      <w:r w:rsidR="008F2686">
        <w:t xml:space="preserve"> </w:t>
      </w:r>
      <w:r w:rsidR="00CA77D6">
        <w:t>« Utilisation (Vie des carrières)</w:t>
      </w:r>
      <w:r w:rsidR="005B1B39">
        <w:t> »</w:t>
      </w:r>
      <w:r w:rsidR="00166643">
        <w:t xml:space="preserve"> ramène sur l’écran « GRH &gt; Liste de Contrôle &gt; Vie des carrières » </w:t>
      </w:r>
      <w:r w:rsidR="005E67C5">
        <w:t>et affiche les données propres à l’occurrence sélectionnées.</w:t>
      </w:r>
    </w:p>
    <w:p w14:paraId="061F3CD0" w14:textId="70BF1375" w:rsidR="005E67C5" w:rsidRDefault="00C06E43" w:rsidP="003D3832">
      <w:r>
        <w:rPr>
          <w:noProof/>
        </w:rPr>
        <w:drawing>
          <wp:inline distT="0" distB="0" distL="0" distR="0" wp14:anchorId="6D5A660A" wp14:editId="18A89605">
            <wp:extent cx="5760720" cy="17678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b="17900"/>
                    <a:stretch/>
                  </pic:blipFill>
                  <pic:spPr bwMode="auto">
                    <a:xfrm>
                      <a:off x="0" y="0"/>
                      <a:ext cx="5760720" cy="1767840"/>
                    </a:xfrm>
                    <a:prstGeom prst="rect">
                      <a:avLst/>
                    </a:prstGeom>
                    <a:ln>
                      <a:noFill/>
                    </a:ln>
                    <a:extLst>
                      <a:ext uri="{53640926-AAD7-44D8-BBD7-CCE9431645EC}">
                        <a14:shadowObscured xmlns:a14="http://schemas.microsoft.com/office/drawing/2010/main"/>
                      </a:ext>
                    </a:extLst>
                  </pic:spPr>
                </pic:pic>
              </a:graphicData>
            </a:graphic>
          </wp:inline>
        </w:drawing>
      </w:r>
    </w:p>
    <w:p w14:paraId="5D24B87A" w14:textId="77777777" w:rsidR="0051694E" w:rsidRDefault="0051694E" w:rsidP="003D3832"/>
    <w:p w14:paraId="67C29FF9" w14:textId="3174C0D3" w:rsidR="00C06E43" w:rsidRPr="003D3832" w:rsidRDefault="009379E6" w:rsidP="003D3832">
      <w:r>
        <w:rPr>
          <w:noProof/>
        </w:rPr>
        <w:drawing>
          <wp:inline distT="0" distB="0" distL="0" distR="0" wp14:anchorId="2D9F27A0" wp14:editId="102B2328">
            <wp:extent cx="5760720" cy="1653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b="19030"/>
                    <a:stretch/>
                  </pic:blipFill>
                  <pic:spPr bwMode="auto">
                    <a:xfrm>
                      <a:off x="0" y="0"/>
                      <a:ext cx="5760720" cy="1653540"/>
                    </a:xfrm>
                    <a:prstGeom prst="rect">
                      <a:avLst/>
                    </a:prstGeom>
                    <a:ln>
                      <a:noFill/>
                    </a:ln>
                    <a:extLst>
                      <a:ext uri="{53640926-AAD7-44D8-BBD7-CCE9431645EC}">
                        <a14:shadowObscured xmlns:a14="http://schemas.microsoft.com/office/drawing/2010/main"/>
                      </a:ext>
                    </a:extLst>
                  </pic:spPr>
                </pic:pic>
              </a:graphicData>
            </a:graphic>
          </wp:inline>
        </w:drawing>
      </w:r>
    </w:p>
    <w:p w14:paraId="2D3DC547" w14:textId="28A0BFE6" w:rsidR="00676704" w:rsidRDefault="00676704" w:rsidP="00314E8F">
      <w:pPr>
        <w:pStyle w:val="Heading2"/>
      </w:pPr>
      <w:r w:rsidRPr="00676704">
        <w:t xml:space="preserve">EG02 : </w:t>
      </w:r>
      <w:r w:rsidR="005774E1" w:rsidRPr="005774E1">
        <w:t>La zone contenant les boutons dans les listes harmonisées, ouverte avec les "...", ne devrait plus impliquer l'agrandissement de la page - la zone sera repositionnée à l'ouverture, le cas échéant [Mantis #5538]</w:t>
      </w:r>
    </w:p>
    <w:p w14:paraId="54CBBD17" w14:textId="5F98E0AA" w:rsidR="00676704" w:rsidRPr="00676704" w:rsidRDefault="009A47DE" w:rsidP="00676704">
      <w:r>
        <w:rPr>
          <w:noProof/>
        </w:rPr>
        <w:drawing>
          <wp:inline distT="0" distB="0" distL="0" distR="0" wp14:anchorId="06EFC549" wp14:editId="4CC8E696">
            <wp:extent cx="5760720" cy="20980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098040"/>
                    </a:xfrm>
                    <a:prstGeom prst="rect">
                      <a:avLst/>
                    </a:prstGeom>
                  </pic:spPr>
                </pic:pic>
              </a:graphicData>
            </a:graphic>
          </wp:inline>
        </w:drawing>
      </w:r>
    </w:p>
    <w:p w14:paraId="4639ABC9" w14:textId="600F6563" w:rsidR="005774E1" w:rsidRDefault="005774E1" w:rsidP="005774E1">
      <w:pPr>
        <w:pStyle w:val="Heading2"/>
      </w:pPr>
      <w:r>
        <w:t>EG03 : Lors du défilement vertical (supérieur à un seuil de 50px), les fenêtres afficheront dorénavant en bas à gauche un bouton permettant de remonter en haut de l'affichage comme le bouton "Début" du clavier [Mantis #5574]</w:t>
      </w:r>
    </w:p>
    <w:p w14:paraId="49B17DA7" w14:textId="2AD63630" w:rsidR="00357FEF" w:rsidRDefault="00357FEF" w:rsidP="00357FEF">
      <w:r>
        <w:t>Le bouton permet de remonter en haut de la page.</w:t>
      </w:r>
    </w:p>
    <w:p w14:paraId="76E9AB39" w14:textId="77777777" w:rsidR="00357FEF" w:rsidRPr="00357FEF" w:rsidRDefault="00357FEF" w:rsidP="00357FEF"/>
    <w:p w14:paraId="02EEE488" w14:textId="3F2CED43" w:rsidR="00357FEF" w:rsidRPr="00357FEF" w:rsidRDefault="00357FEF" w:rsidP="00357FEF">
      <w:r>
        <w:rPr>
          <w:noProof/>
        </w:rPr>
        <w:drawing>
          <wp:inline distT="0" distB="0" distL="0" distR="0" wp14:anchorId="3996EFB1" wp14:editId="22E25624">
            <wp:extent cx="5760720" cy="234378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343785"/>
                    </a:xfrm>
                    <a:prstGeom prst="rect">
                      <a:avLst/>
                    </a:prstGeom>
                  </pic:spPr>
                </pic:pic>
              </a:graphicData>
            </a:graphic>
          </wp:inline>
        </w:drawing>
      </w:r>
    </w:p>
    <w:p w14:paraId="5574209E" w14:textId="77777777" w:rsidR="00656F15" w:rsidRDefault="00656F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5157DAB" w14:textId="495ED091" w:rsidR="005774E1" w:rsidRDefault="005774E1" w:rsidP="005774E1">
      <w:pPr>
        <w:pStyle w:val="Heading2"/>
      </w:pPr>
      <w:r>
        <w:t xml:space="preserve">EG04 : </w:t>
      </w:r>
      <w:r w:rsidR="004539A3" w:rsidRPr="004539A3">
        <w:t>Ajout d'un type de périmètre "Groupe de gestion" ("Outils &gt; Droits &gt; Périmètres &gt; Groupe de Gestion")</w:t>
      </w:r>
      <w:r w:rsidR="004539A3">
        <w:t xml:space="preserve"> </w:t>
      </w:r>
      <w:r w:rsidR="004539A3" w:rsidRPr="004539A3">
        <w:t>permettant de sécuriser certains référentiels et écrans harmonisés - Exemple : référentiels du module "Entretiens" et campagnes d'entretiens - Si un objet n'est lié à aucun groupe de gestion, il est "commun", s'il est lié à un groupe de gestion, seuls les utilisateurs ayant ce périmètre peuvent le voir [Mantis #5452]</w:t>
      </w:r>
    </w:p>
    <w:p w14:paraId="03F76AAE" w14:textId="2EE18817" w:rsidR="004539A3" w:rsidRDefault="004539A3" w:rsidP="00F03A3C">
      <w:pPr>
        <w:pStyle w:val="ListParagraph"/>
        <w:numPr>
          <w:ilvl w:val="0"/>
          <w:numId w:val="30"/>
        </w:numPr>
      </w:pPr>
      <w:r>
        <w:t xml:space="preserve">Afin d’utiliser </w:t>
      </w:r>
      <w:r w:rsidR="0042478E">
        <w:t xml:space="preserve">les groupes de gestion il faut d’abord </w:t>
      </w:r>
      <w:r w:rsidR="00B60A16">
        <w:t xml:space="preserve">créer les groupes dans « Outils &gt; </w:t>
      </w:r>
      <w:r w:rsidR="00B60A16" w:rsidRPr="00B60A16">
        <w:t>Droits &gt; Périmètres &gt; Groupe de Gestion</w:t>
      </w:r>
      <w:r w:rsidR="00F31C57">
        <w:t> »</w:t>
      </w:r>
    </w:p>
    <w:p w14:paraId="6A8E3A43" w14:textId="2720F4A3" w:rsidR="005A7D28" w:rsidRDefault="00446B09" w:rsidP="004539A3">
      <w:r>
        <w:rPr>
          <w:noProof/>
        </w:rPr>
        <w:drawing>
          <wp:inline distT="0" distB="0" distL="0" distR="0" wp14:anchorId="49A57A55" wp14:editId="004177EF">
            <wp:extent cx="5760720" cy="23075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307590"/>
                    </a:xfrm>
                    <a:prstGeom prst="rect">
                      <a:avLst/>
                    </a:prstGeom>
                  </pic:spPr>
                </pic:pic>
              </a:graphicData>
            </a:graphic>
          </wp:inline>
        </w:drawing>
      </w:r>
    </w:p>
    <w:p w14:paraId="190A8B0E" w14:textId="77777777" w:rsidR="005A7D28" w:rsidRDefault="005A7D28" w:rsidP="004539A3"/>
    <w:p w14:paraId="3AD25A41" w14:textId="443A18C1" w:rsidR="006B3ECF" w:rsidRDefault="006B3ECF" w:rsidP="00F03A3C">
      <w:pPr>
        <w:pStyle w:val="ListParagraph"/>
        <w:numPr>
          <w:ilvl w:val="0"/>
          <w:numId w:val="30"/>
        </w:numPr>
      </w:pPr>
      <w:r>
        <w:t xml:space="preserve">Aller ensuite dans </w:t>
      </w:r>
      <w:r w:rsidR="0072636C">
        <w:t xml:space="preserve">« Outils &gt; </w:t>
      </w:r>
      <w:r w:rsidR="0072636C" w:rsidRPr="00B60A16">
        <w:t xml:space="preserve">Droits &gt; </w:t>
      </w:r>
      <w:r w:rsidR="0072636C">
        <w:t xml:space="preserve">Détails des </w:t>
      </w:r>
      <w:r w:rsidR="00236691">
        <w:t>Utilisateurs »</w:t>
      </w:r>
      <w:r w:rsidR="001453C6">
        <w:t xml:space="preserve"> pour assigner </w:t>
      </w:r>
      <w:r w:rsidR="00C7017E">
        <w:t xml:space="preserve">un ou des groupes de gestion aux utilisateurs. </w:t>
      </w:r>
    </w:p>
    <w:p w14:paraId="7422D9CC" w14:textId="50A5B234" w:rsidR="00C225A7" w:rsidRDefault="00236691" w:rsidP="00C225A7">
      <w:r>
        <w:rPr>
          <w:noProof/>
        </w:rPr>
        <w:drawing>
          <wp:inline distT="0" distB="0" distL="0" distR="0" wp14:anchorId="690F0489" wp14:editId="703A7F9D">
            <wp:extent cx="5760720" cy="20396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039620"/>
                    </a:xfrm>
                    <a:prstGeom prst="rect">
                      <a:avLst/>
                    </a:prstGeom>
                  </pic:spPr>
                </pic:pic>
              </a:graphicData>
            </a:graphic>
          </wp:inline>
        </w:drawing>
      </w:r>
    </w:p>
    <w:p w14:paraId="4817C6F5" w14:textId="252817CC" w:rsidR="00F03A3C" w:rsidRDefault="00906B0D" w:rsidP="00C225A7">
      <w:r>
        <w:t xml:space="preserve">A noter : </w:t>
      </w:r>
      <w:r w:rsidR="00907935">
        <w:t xml:space="preserve">tant qu’aucun groupe n’est assigné à au moins un utilisateur, </w:t>
      </w:r>
      <w:r w:rsidR="00C75206">
        <w:t>le champ</w:t>
      </w:r>
      <w:r w:rsidR="00F03A3C">
        <w:t xml:space="preserve"> « Groupe de gestion »</w:t>
      </w:r>
      <w:r w:rsidR="00C75206">
        <w:t xml:space="preserve"> n’est pas disponible dans les tables</w:t>
      </w:r>
      <w:r w:rsidR="00F03A3C">
        <w:t>.</w:t>
      </w:r>
    </w:p>
    <w:p w14:paraId="123025D0" w14:textId="5C27546C" w:rsidR="009C00E2" w:rsidRDefault="009C00E2">
      <w:pPr>
        <w:spacing w:after="160" w:line="259" w:lineRule="auto"/>
        <w:jc w:val="left"/>
      </w:pPr>
      <w:r>
        <w:br w:type="page"/>
      </w:r>
    </w:p>
    <w:p w14:paraId="6064728C" w14:textId="0599D240" w:rsidR="00F03A3C" w:rsidRDefault="00134606" w:rsidP="00F03A3C">
      <w:pPr>
        <w:pStyle w:val="ListParagraph"/>
        <w:numPr>
          <w:ilvl w:val="0"/>
          <w:numId w:val="30"/>
        </w:numPr>
      </w:pPr>
      <w:r>
        <w:t xml:space="preserve">Choisir si un champ est accessible à un groupe en particulier. </w:t>
      </w:r>
      <w:r w:rsidR="00C050C2">
        <w:t>Les agents qui ne se voient pas assigner un groupe de gestion ne verront pas ces champs.</w:t>
      </w:r>
    </w:p>
    <w:p w14:paraId="638C4692" w14:textId="77777777" w:rsidR="00C050C2" w:rsidRDefault="00C050C2" w:rsidP="00C050C2"/>
    <w:p w14:paraId="1CF1F4A5" w14:textId="16FCA38F" w:rsidR="00C050C2" w:rsidRDefault="009619D6" w:rsidP="00C050C2">
      <w:r>
        <w:rPr>
          <w:noProof/>
        </w:rPr>
        <w:drawing>
          <wp:inline distT="0" distB="0" distL="0" distR="0" wp14:anchorId="751B720C" wp14:editId="0DB0EFB8">
            <wp:extent cx="5760720" cy="2032000"/>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032000"/>
                    </a:xfrm>
                    <a:prstGeom prst="rect">
                      <a:avLst/>
                    </a:prstGeom>
                  </pic:spPr>
                </pic:pic>
              </a:graphicData>
            </a:graphic>
          </wp:inline>
        </w:drawing>
      </w:r>
    </w:p>
    <w:p w14:paraId="46CF4EAF" w14:textId="7AAB1E4B" w:rsidR="00970FD0" w:rsidRDefault="00970FD0" w:rsidP="00970FD0"/>
    <w:p w14:paraId="3FF17483" w14:textId="2A28CDDF" w:rsidR="005758CF" w:rsidRDefault="005758CF" w:rsidP="005758CF">
      <w:pPr>
        <w:pStyle w:val="Heading2"/>
      </w:pPr>
      <w:r>
        <w:t>EG05A : Les calculs de consommations des droits (CPF, CEC, ...) ne tiendront dorénavant plus compte des candidatures rejetées et des sessions annulées [Mantis #5591]</w:t>
      </w:r>
    </w:p>
    <w:p w14:paraId="19E693B9" w14:textId="67989C48" w:rsidR="00D74198" w:rsidRDefault="00D74198" w:rsidP="00D74198">
      <w:r>
        <w:t>Si une candidature est rejetée ou une session annulée, alors les droits renseignés avant le changement dans « Informations Complémentaires » ne seront plus pris en compte dans le calcul des droits visibles dans « GRH &gt; Livrets Individuels &gt; Détails des livrets individuels &gt; Droits ».</w:t>
      </w:r>
    </w:p>
    <w:p w14:paraId="177A1A8E" w14:textId="77777777" w:rsidR="006016D8" w:rsidRDefault="006016D8" w:rsidP="00D74198"/>
    <w:p w14:paraId="6012C098" w14:textId="27C8A75E" w:rsidR="00D74198" w:rsidRDefault="006050DB" w:rsidP="00D74198">
      <w:r>
        <w:rPr>
          <w:noProof/>
        </w:rPr>
        <mc:AlternateContent>
          <mc:Choice Requires="wps">
            <w:drawing>
              <wp:anchor distT="0" distB="0" distL="114300" distR="114300" simplePos="0" relativeHeight="251659264" behindDoc="0" locked="0" layoutInCell="1" allowOverlap="1" wp14:anchorId="57C988C7" wp14:editId="2F84E77D">
                <wp:simplePos x="0" y="0"/>
                <wp:positionH relativeFrom="column">
                  <wp:posOffset>2559685</wp:posOffset>
                </wp:positionH>
                <wp:positionV relativeFrom="paragraph">
                  <wp:posOffset>314325</wp:posOffset>
                </wp:positionV>
                <wp:extent cx="662940" cy="198120"/>
                <wp:effectExtent l="0" t="0" r="22860" b="11430"/>
                <wp:wrapNone/>
                <wp:docPr id="1909224608" name="Rectangle 1909224608"/>
                <wp:cNvGraphicFramePr/>
                <a:graphic xmlns:a="http://schemas.openxmlformats.org/drawingml/2006/main">
                  <a:graphicData uri="http://schemas.microsoft.com/office/word/2010/wordprocessingShape">
                    <wps:wsp>
                      <wps:cNvSpPr/>
                      <wps:spPr>
                        <a:xfrm>
                          <a:off x="0" y="0"/>
                          <a:ext cx="66294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4343F" id="Rectangle 1909224608" o:spid="_x0000_s1026" style="position:absolute;margin-left:201.55pt;margin-top:24.75pt;width:52.2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" filled="f" strokecolor="red" strokeweight="1pt"/>
            </w:pict>
          </mc:Fallback>
        </mc:AlternateContent>
      </w:r>
      <w:r w:rsidR="006016D8">
        <w:rPr>
          <w:noProof/>
        </w:rPr>
        <w:drawing>
          <wp:inline distT="0" distB="0" distL="0" distR="0" wp14:anchorId="17402F1B" wp14:editId="5DB31550">
            <wp:extent cx="5760720" cy="101473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014730"/>
                    </a:xfrm>
                    <a:prstGeom prst="rect">
                      <a:avLst/>
                    </a:prstGeom>
                  </pic:spPr>
                </pic:pic>
              </a:graphicData>
            </a:graphic>
          </wp:inline>
        </w:drawing>
      </w:r>
    </w:p>
    <w:p w14:paraId="48A13FA3" w14:textId="77777777" w:rsidR="00D74198" w:rsidRPr="00D74198" w:rsidRDefault="00D74198" w:rsidP="00D74198"/>
    <w:p w14:paraId="2F263BB1" w14:textId="22C9EA18" w:rsidR="00A83DD8" w:rsidRDefault="005758CF" w:rsidP="005758CF">
      <w:pPr>
        <w:pStyle w:val="Heading2"/>
      </w:pPr>
      <w:r>
        <w:t>EG05B : Le rejet d'une candidature-stagiaire réinitialisera dorénavant la consommation fixée de droit ("Formation &gt; Sessions &gt; Détails &gt; Renseignements Comp</w:t>
      </w:r>
      <w:r w:rsidR="00C46D60">
        <w:t>lé</w:t>
      </w:r>
      <w:r>
        <w:t>mentaires") sans décocher la case [Mantis #5591]</w:t>
      </w:r>
    </w:p>
    <w:p w14:paraId="7F90E440" w14:textId="144DEEB2" w:rsidR="006016D8" w:rsidRDefault="00B3515D" w:rsidP="006016D8">
      <w:r>
        <w:t>Si une</w:t>
      </w:r>
      <w:r w:rsidRPr="00B3515D">
        <w:t xml:space="preserve"> candidature</w:t>
      </w:r>
      <w:r>
        <w:t xml:space="preserve"> est rejetée</w:t>
      </w:r>
      <w:r w:rsidRPr="00B3515D">
        <w:t xml:space="preserve">, le bloc </w:t>
      </w:r>
      <w:r>
        <w:t>concernant l’agent</w:t>
      </w:r>
      <w:r w:rsidR="00B90A64">
        <w:t xml:space="preserve"> </w:t>
      </w:r>
      <w:r w:rsidRPr="00B3515D">
        <w:t>dans "renseignement complémentaire" disparaît</w:t>
      </w:r>
      <w:r w:rsidR="005A7A32">
        <w:t xml:space="preserve">. Si elle est réacceptée, </w:t>
      </w:r>
      <w:r w:rsidRPr="00B3515D">
        <w:t>le bloc réapparaît</w:t>
      </w:r>
      <w:r w:rsidR="005A7A32">
        <w:t xml:space="preserve"> : la case du droit précédemment utilisée reste cochée mais la quantité a été mise à blanc. </w:t>
      </w:r>
    </w:p>
    <w:p w14:paraId="5F7CD29B" w14:textId="7A78CFF0" w:rsidR="005A7A32" w:rsidRPr="006016D8" w:rsidRDefault="009467F2" w:rsidP="006016D8">
      <w:r>
        <w:rPr>
          <w:noProof/>
        </w:rPr>
        <w:drawing>
          <wp:inline distT="0" distB="0" distL="0" distR="0" wp14:anchorId="07CE26F2" wp14:editId="404C91B4">
            <wp:extent cx="5760720" cy="2017395"/>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017395"/>
                    </a:xfrm>
                    <a:prstGeom prst="rect">
                      <a:avLst/>
                    </a:prstGeom>
                  </pic:spPr>
                </pic:pic>
              </a:graphicData>
            </a:graphic>
          </wp:inline>
        </w:drawing>
      </w:r>
    </w:p>
    <w:p w14:paraId="3C6393BE" w14:textId="77777777" w:rsidR="00F03A3C" w:rsidRPr="00C225A7" w:rsidRDefault="00F03A3C" w:rsidP="00C225A7"/>
    <w:p w14:paraId="19292A34" w14:textId="77777777" w:rsidR="00656F15" w:rsidRDefault="00656F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0E9A141" w14:textId="63143459" w:rsidR="001433C9" w:rsidRDefault="001433C9" w:rsidP="001433C9">
      <w:pPr>
        <w:pStyle w:val="Heading2"/>
      </w:pPr>
      <w:r>
        <w:t>CG01 : Implémentation d'une compatibilité Java 9+ (dépréciation de la fonction de finalisation des objets) [Pas de Mantis]</w:t>
      </w:r>
    </w:p>
    <w:p w14:paraId="71273F01" w14:textId="6DEBA216" w:rsidR="00DA0B7E" w:rsidRPr="00DA0B7E" w:rsidRDefault="00DA0B7E" w:rsidP="00DA0B7E">
      <w:r w:rsidRPr="00E0631C">
        <w:t>Point technique – aucune illustration possible.</w:t>
      </w:r>
    </w:p>
    <w:p w14:paraId="0DCA3424" w14:textId="21DDF548" w:rsidR="00314E8F" w:rsidRDefault="001433C9" w:rsidP="001433C9">
      <w:pPr>
        <w:pStyle w:val="Heading2"/>
      </w:pPr>
      <w:r>
        <w:t>CG02 : Les listes déroulantes d'aide aux listes déroulantes devraient dorénavant être mieux liées sur certains écrans harmonisés (ex : "Formation / Administration &gt; Emplois &gt; Emplois" : la liste "famille" ne se mettait pas toujours à jour avec la liste "sous-famille" lors de la création/modification) [Mantis #5713]</w:t>
      </w:r>
    </w:p>
    <w:p w14:paraId="46619E2D" w14:textId="1C3EEF9E" w:rsidR="00A55054" w:rsidRPr="00A55054" w:rsidRDefault="00A55054" w:rsidP="00A55054">
      <w:r>
        <w:t>L’option dans cette liste n’était pas automatiquement sélectionnée.</w:t>
      </w:r>
    </w:p>
    <w:p w14:paraId="1D5A6F41" w14:textId="788F5CDF" w:rsidR="00DA0B7E" w:rsidRPr="00DA0B7E" w:rsidRDefault="00DA0B7E" w:rsidP="00DA0B7E">
      <w:r>
        <w:rPr>
          <w:noProof/>
        </w:rPr>
        <w:drawing>
          <wp:inline distT="0" distB="0" distL="0" distR="0" wp14:anchorId="2EEACEF9" wp14:editId="35F46315">
            <wp:extent cx="3611301" cy="3611301"/>
            <wp:effectExtent l="0" t="0" r="8255" b="8255"/>
            <wp:docPr id="1909224604" name="Image 19092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615647" cy="3615647"/>
                    </a:xfrm>
                    <a:prstGeom prst="rect">
                      <a:avLst/>
                    </a:prstGeom>
                  </pic:spPr>
                </pic:pic>
              </a:graphicData>
            </a:graphic>
          </wp:inline>
        </w:drawing>
      </w:r>
    </w:p>
    <w:p w14:paraId="08705732" w14:textId="77777777" w:rsidR="002E5FC0" w:rsidRPr="002E5FC0" w:rsidRDefault="002E5FC0" w:rsidP="002E5FC0"/>
    <w:p w14:paraId="78AB7B46" w14:textId="77777777" w:rsidR="00656F15" w:rsidRDefault="00656F1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13EF1D7" w14:textId="5B44C7A2" w:rsidR="00314E8F" w:rsidRDefault="00314E8F" w:rsidP="00314E8F">
      <w:pPr>
        <w:pStyle w:val="Heading1"/>
      </w:pPr>
      <w:r>
        <w:t>GRH</w:t>
      </w:r>
    </w:p>
    <w:p w14:paraId="06D097C1" w14:textId="358FEDFD" w:rsidR="00314E8F" w:rsidRDefault="00314E8F" w:rsidP="00314E8F">
      <w:pPr>
        <w:pStyle w:val="Heading2"/>
      </w:pPr>
      <w:r>
        <w:t xml:space="preserve">ER01 : </w:t>
      </w:r>
      <w:r w:rsidR="00694EBC">
        <w:t xml:space="preserve">Harmonisation des écrans "GRH &gt; Livrets &gt; Détails &gt; Personnes à prévenir" et "GRH &gt; Agents Externes &gt; Détails &gt; Contacts" [Mantis </w:t>
      </w:r>
      <w:r w:rsidR="00385A29">
        <w:t>#</w:t>
      </w:r>
      <w:r w:rsidR="00694EBC">
        <w:t>5545]</w:t>
      </w:r>
    </w:p>
    <w:p w14:paraId="251CAABD" w14:textId="38A1AFB3" w:rsidR="00385A29" w:rsidRPr="000351B2" w:rsidRDefault="006A4888" w:rsidP="00385A29">
      <w:pPr>
        <w:rPr>
          <w:b/>
          <w:bCs/>
        </w:rPr>
      </w:pPr>
      <w:r w:rsidRPr="000351B2">
        <w:rPr>
          <w:b/>
          <w:bCs/>
        </w:rPr>
        <w:t xml:space="preserve">Avant l’évolution : </w:t>
      </w:r>
    </w:p>
    <w:p w14:paraId="1C1D193A" w14:textId="40551251" w:rsidR="006A4888" w:rsidRDefault="00363CA1" w:rsidP="00385A29">
      <w:r>
        <w:rPr>
          <w:noProof/>
        </w:rPr>
        <w:drawing>
          <wp:inline distT="0" distB="0" distL="0" distR="0" wp14:anchorId="1AAC90C9" wp14:editId="7A38913E">
            <wp:extent cx="5760720" cy="21488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148840"/>
                    </a:xfrm>
                    <a:prstGeom prst="rect">
                      <a:avLst/>
                    </a:prstGeom>
                  </pic:spPr>
                </pic:pic>
              </a:graphicData>
            </a:graphic>
          </wp:inline>
        </w:drawing>
      </w:r>
    </w:p>
    <w:p w14:paraId="25FFD6FF" w14:textId="77777777" w:rsidR="00363CA1" w:rsidRDefault="00363CA1" w:rsidP="00385A29"/>
    <w:p w14:paraId="41CF0EDB" w14:textId="34F0F275" w:rsidR="000351B2" w:rsidRDefault="001A7BCF" w:rsidP="00385A29">
      <w:r>
        <w:t>(Avant évolution, il n’y avait p</w:t>
      </w:r>
      <w:r w:rsidR="000351B2">
        <w:t xml:space="preserve">as </w:t>
      </w:r>
      <w:r>
        <w:t>l</w:t>
      </w:r>
      <w:r w:rsidR="000351B2">
        <w:t>’onglet « Personnes à prévenir » pour les agents externes</w:t>
      </w:r>
      <w:r>
        <w:t>, il n’y a donc pas de capture sur cette partie.)</w:t>
      </w:r>
    </w:p>
    <w:p w14:paraId="40522F88" w14:textId="77777777" w:rsidR="000351B2" w:rsidRDefault="000351B2" w:rsidP="00385A29"/>
    <w:p w14:paraId="568804F3" w14:textId="2BA6D3C2" w:rsidR="006A4888" w:rsidRPr="000351B2" w:rsidRDefault="006A4888" w:rsidP="00385A29">
      <w:pPr>
        <w:rPr>
          <w:b/>
          <w:bCs/>
        </w:rPr>
      </w:pPr>
      <w:r w:rsidRPr="000351B2">
        <w:rPr>
          <w:b/>
          <w:bCs/>
        </w:rPr>
        <w:t xml:space="preserve">Après l’évolution : </w:t>
      </w:r>
    </w:p>
    <w:p w14:paraId="221B0D62" w14:textId="1BEB94E4" w:rsidR="0072070B" w:rsidRDefault="0072070B" w:rsidP="00385A29">
      <w:r>
        <w:t>Agents internes</w:t>
      </w:r>
    </w:p>
    <w:p w14:paraId="4E8EC716" w14:textId="37BBAC0C" w:rsidR="00DD65F0" w:rsidRDefault="00DD65F0" w:rsidP="00385A29">
      <w:r>
        <w:rPr>
          <w:noProof/>
        </w:rPr>
        <w:drawing>
          <wp:inline distT="0" distB="0" distL="0" distR="0" wp14:anchorId="1CFEB809" wp14:editId="50A02171">
            <wp:extent cx="5760720" cy="19856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985645"/>
                    </a:xfrm>
                    <a:prstGeom prst="rect">
                      <a:avLst/>
                    </a:prstGeom>
                  </pic:spPr>
                </pic:pic>
              </a:graphicData>
            </a:graphic>
          </wp:inline>
        </w:drawing>
      </w:r>
    </w:p>
    <w:p w14:paraId="7AC3CF69" w14:textId="36B79648" w:rsidR="001A7BCF" w:rsidRDefault="001A7BCF" w:rsidP="00385A29">
      <w:r>
        <w:t>Cliquer sur une personne à prévenir pour voir ses informations contacts (téléphone, …).</w:t>
      </w:r>
    </w:p>
    <w:p w14:paraId="2434790E" w14:textId="77777777" w:rsidR="0072070B" w:rsidRDefault="0072070B" w:rsidP="00385A29"/>
    <w:p w14:paraId="16605FD0" w14:textId="48A94391" w:rsidR="0072070B" w:rsidRPr="00385A29" w:rsidRDefault="0072070B" w:rsidP="00385A29">
      <w:r>
        <w:t>Agents externes</w:t>
      </w:r>
    </w:p>
    <w:p w14:paraId="0A32D142" w14:textId="77777777" w:rsidR="00656F15" w:rsidRDefault="0072070B" w:rsidP="0018500E">
      <w:pPr>
        <w:spacing w:after="160" w:line="259" w:lineRule="auto"/>
        <w:jc w:val="left"/>
        <w:rPr>
          <w:rStyle w:val="Heading2Char"/>
        </w:rPr>
      </w:pPr>
      <w:r>
        <w:rPr>
          <w:noProof/>
        </w:rPr>
        <w:drawing>
          <wp:inline distT="0" distB="0" distL="0" distR="0" wp14:anchorId="56ACE1B4" wp14:editId="50E26E2E">
            <wp:extent cx="5760720" cy="169354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693545"/>
                    </a:xfrm>
                    <a:prstGeom prst="rect">
                      <a:avLst/>
                    </a:prstGeom>
                  </pic:spPr>
                </pic:pic>
              </a:graphicData>
            </a:graphic>
          </wp:inline>
        </w:drawing>
      </w:r>
    </w:p>
    <w:p w14:paraId="427741BC" w14:textId="77777777" w:rsidR="00656F15" w:rsidRDefault="00656F15">
      <w:pPr>
        <w:spacing w:after="160" w:line="259" w:lineRule="auto"/>
        <w:jc w:val="left"/>
        <w:rPr>
          <w:rStyle w:val="Heading2Char"/>
        </w:rPr>
      </w:pPr>
      <w:r>
        <w:rPr>
          <w:rStyle w:val="Heading2Char"/>
        </w:rPr>
        <w:br w:type="page"/>
      </w:r>
    </w:p>
    <w:p w14:paraId="186758EA" w14:textId="5A9287F9" w:rsidR="00E64346" w:rsidRPr="0018500E" w:rsidRDefault="00E64346" w:rsidP="005269E7">
      <w:pPr>
        <w:pStyle w:val="Heading2"/>
        <w:rPr>
          <w:rStyle w:val="Heading2Char"/>
        </w:rPr>
      </w:pPr>
      <w:r w:rsidRPr="0018500E">
        <w:rPr>
          <w:rStyle w:val="Heading2Char"/>
        </w:rPr>
        <w:t>ER02 : Le bouton "Enregistrer" de l'écran "GRH &gt; Liste des emplois &gt; Aide LAO" sera dorénavant affiché dans une barre flottante [Mantis #5543]</w:t>
      </w:r>
    </w:p>
    <w:p w14:paraId="5E6C97AD" w14:textId="3F89A83C" w:rsidR="00DD56F6" w:rsidRDefault="00C2378A" w:rsidP="00DD56F6">
      <w:r>
        <w:t>Avant l’évolution :</w:t>
      </w:r>
    </w:p>
    <w:p w14:paraId="57EC6193" w14:textId="16F5BD4D" w:rsidR="009E255A" w:rsidRDefault="009E255A" w:rsidP="00DD56F6">
      <w:r>
        <w:rPr>
          <w:noProof/>
        </w:rPr>
        <w:drawing>
          <wp:inline distT="0" distB="0" distL="0" distR="0" wp14:anchorId="6C6C0218" wp14:editId="3AE2C9D7">
            <wp:extent cx="5760720" cy="207454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074545"/>
                    </a:xfrm>
                    <a:prstGeom prst="rect">
                      <a:avLst/>
                    </a:prstGeom>
                  </pic:spPr>
                </pic:pic>
              </a:graphicData>
            </a:graphic>
          </wp:inline>
        </w:drawing>
      </w:r>
    </w:p>
    <w:p w14:paraId="0C888871" w14:textId="59919163" w:rsidR="00C2378A" w:rsidRDefault="00C2378A" w:rsidP="00DD56F6">
      <w:r>
        <w:t>Après l’évolution :</w:t>
      </w:r>
    </w:p>
    <w:p w14:paraId="0C69470B" w14:textId="10FF82FE" w:rsidR="00C2378A" w:rsidRDefault="00484BD0" w:rsidP="00DD56F6">
      <w:r>
        <w:rPr>
          <w:noProof/>
        </w:rPr>
        <w:drawing>
          <wp:inline distT="0" distB="0" distL="0" distR="0" wp14:anchorId="3551023F" wp14:editId="5FD12977">
            <wp:extent cx="5760720" cy="14547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454785"/>
                    </a:xfrm>
                    <a:prstGeom prst="rect">
                      <a:avLst/>
                    </a:prstGeom>
                  </pic:spPr>
                </pic:pic>
              </a:graphicData>
            </a:graphic>
          </wp:inline>
        </w:drawing>
      </w:r>
    </w:p>
    <w:p w14:paraId="2BBE2675" w14:textId="38D61811" w:rsidR="00F44768" w:rsidRDefault="00F44768">
      <w:pPr>
        <w:spacing w:after="160" w:line="259" w:lineRule="auto"/>
        <w:jc w:val="left"/>
      </w:pPr>
      <w:r>
        <w:br w:type="page"/>
      </w:r>
    </w:p>
    <w:p w14:paraId="5645305E" w14:textId="77B44F46" w:rsidR="00BA1F1D" w:rsidRDefault="00BA1F1D" w:rsidP="00314E8F">
      <w:pPr>
        <w:pStyle w:val="Heading2"/>
      </w:pPr>
      <w:r w:rsidRPr="00BA1F1D">
        <w:t>ER03 : Les types et sur-types de formateurs ("Formation / Administration &gt; Divers Formation &gt; Types de Formateurs") admettront dorénavant une case à cocher "Export PDF" permettant d'indiquer si ce type d'intervention doit apparaitre ou non sur l'export PDF du livret individuel de formation [Mantis #5589]</w:t>
      </w:r>
    </w:p>
    <w:p w14:paraId="66341177" w14:textId="77777777" w:rsidR="004551A9" w:rsidRDefault="004551A9" w:rsidP="004551A9">
      <w:r>
        <w:t>Si l'agent est inscrit en super-type, c'est celui-ci compte pour l'affichage</w:t>
      </w:r>
    </w:p>
    <w:p w14:paraId="76D1298D" w14:textId="50572BE2" w:rsidR="001F78F3" w:rsidRDefault="004551A9" w:rsidP="004551A9">
      <w:r>
        <w:t>Si l'agent est inscrit en type, c'est celui-ci qui compte pour l'affichage, peu importe le super-type</w:t>
      </w:r>
      <w:r w:rsidR="00520F93">
        <w:t xml:space="preserve">. </w:t>
      </w:r>
    </w:p>
    <w:p w14:paraId="721B03D6" w14:textId="21A1D9DF" w:rsidR="00520F93" w:rsidRPr="001F78F3" w:rsidRDefault="00520F93" w:rsidP="004551A9">
      <w:r>
        <w:t xml:space="preserve">Si un </w:t>
      </w:r>
      <w:r w:rsidR="00000489">
        <w:t xml:space="preserve">agent est inscrit avec un type pour lequel </w:t>
      </w:r>
      <w:r w:rsidR="00764039" w:rsidRPr="00764039">
        <w:t>"Export PDF"</w:t>
      </w:r>
      <w:r w:rsidR="00764039">
        <w:t xml:space="preserve"> est coché</w:t>
      </w:r>
      <w:r w:rsidR="00BE6323">
        <w:t xml:space="preserve"> (« OUI »), mais dont le super-type est à « NON », son intervention de formateur apparaîtra bien dans l’export du LIF.</w:t>
      </w:r>
    </w:p>
    <w:p w14:paraId="0A82B82D" w14:textId="1AE98B44" w:rsidR="00292F56" w:rsidRDefault="00292F56" w:rsidP="00292F56">
      <w:r>
        <w:rPr>
          <w:noProof/>
        </w:rPr>
        <w:drawing>
          <wp:inline distT="0" distB="0" distL="0" distR="0" wp14:anchorId="0C907ADC" wp14:editId="530548B2">
            <wp:extent cx="5760720" cy="22561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256155"/>
                    </a:xfrm>
                    <a:prstGeom prst="rect">
                      <a:avLst/>
                    </a:prstGeom>
                  </pic:spPr>
                </pic:pic>
              </a:graphicData>
            </a:graphic>
          </wp:inline>
        </w:drawing>
      </w:r>
    </w:p>
    <w:p w14:paraId="24C1501F" w14:textId="77777777" w:rsidR="00292F56" w:rsidRDefault="00292F56" w:rsidP="00292F56"/>
    <w:p w14:paraId="356BF1AC" w14:textId="5FAF6708" w:rsidR="00292F56" w:rsidRDefault="007A5F38" w:rsidP="00292F56">
      <w:r>
        <w:rPr>
          <w:noProof/>
        </w:rPr>
        <w:drawing>
          <wp:inline distT="0" distB="0" distL="0" distR="0" wp14:anchorId="67108767" wp14:editId="2407D358">
            <wp:extent cx="5760720" cy="1364615"/>
            <wp:effectExtent l="0" t="0" r="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364615"/>
                    </a:xfrm>
                    <a:prstGeom prst="rect">
                      <a:avLst/>
                    </a:prstGeom>
                  </pic:spPr>
                </pic:pic>
              </a:graphicData>
            </a:graphic>
          </wp:inline>
        </w:drawing>
      </w:r>
    </w:p>
    <w:p w14:paraId="598AA8C9" w14:textId="377A0ECC" w:rsidR="00F44768" w:rsidRDefault="00F44768">
      <w:pPr>
        <w:spacing w:after="160" w:line="259" w:lineRule="auto"/>
        <w:jc w:val="left"/>
      </w:pPr>
      <w:r>
        <w:br w:type="page"/>
      </w:r>
    </w:p>
    <w:p w14:paraId="537702AB" w14:textId="2CAD626B" w:rsidR="00DC03C5" w:rsidRDefault="00DC03C5" w:rsidP="00DC03C5">
      <w:pPr>
        <w:pStyle w:val="Heading2"/>
      </w:pPr>
      <w:r w:rsidRPr="00DC03C5">
        <w:t>ER04 : Les droits admettront dorénavant une option "arrondi" permettant de calculer un solde annuel arrondi à l'entier supérieur ou inférieur dans l'écran "GRH / Administration &gt; Statuts et Filières &gt; Droits" [Mantis #5603]</w:t>
      </w:r>
    </w:p>
    <w:p w14:paraId="045C0ABB" w14:textId="3F3EBDDD" w:rsidR="00326923" w:rsidRDefault="0053737C" w:rsidP="00326923">
      <w:r>
        <w:rPr>
          <w:noProof/>
        </w:rPr>
        <w:drawing>
          <wp:inline distT="0" distB="0" distL="0" distR="0" wp14:anchorId="65068D0B" wp14:editId="0082CCE1">
            <wp:extent cx="3637129" cy="1769251"/>
            <wp:effectExtent l="0" t="0" r="1905"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652802" cy="1776875"/>
                    </a:xfrm>
                    <a:prstGeom prst="rect">
                      <a:avLst/>
                    </a:prstGeom>
                  </pic:spPr>
                </pic:pic>
              </a:graphicData>
            </a:graphic>
          </wp:inline>
        </w:drawing>
      </w:r>
    </w:p>
    <w:p w14:paraId="0B418DB9" w14:textId="77777777" w:rsidR="00986A94" w:rsidRDefault="00986A94" w:rsidP="00326923"/>
    <w:p w14:paraId="6A926819" w14:textId="68B8DB58" w:rsidR="00986A94" w:rsidRDefault="00986A94" w:rsidP="00326923">
      <w:r>
        <w:t>Avec les Congé payé arrondi à non (agent avec une quotité de temps de travail de 82%) :</w:t>
      </w:r>
    </w:p>
    <w:p w14:paraId="30B0545C" w14:textId="1390817C" w:rsidR="00986A94" w:rsidRDefault="00DB1F77" w:rsidP="00326923">
      <w:r>
        <w:rPr>
          <w:noProof/>
        </w:rPr>
        <w:drawing>
          <wp:inline distT="0" distB="0" distL="0" distR="0" wp14:anchorId="29C432F0" wp14:editId="7497EDFA">
            <wp:extent cx="5760720" cy="6743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674370"/>
                    </a:xfrm>
                    <a:prstGeom prst="rect">
                      <a:avLst/>
                    </a:prstGeom>
                  </pic:spPr>
                </pic:pic>
              </a:graphicData>
            </a:graphic>
          </wp:inline>
        </w:drawing>
      </w:r>
    </w:p>
    <w:p w14:paraId="6C2B58CE" w14:textId="77777777" w:rsidR="00EF0BAA" w:rsidRDefault="00EF0BAA" w:rsidP="00326923"/>
    <w:p w14:paraId="10E7E587" w14:textId="42DFB0CE" w:rsidR="00EF0BAA" w:rsidRDefault="00EF0BAA" w:rsidP="00326923">
      <w:r>
        <w:t>Avec les Congé payé arrondi à l’entier inférieur (agent avec une quotité de temps de travail de 82%) :</w:t>
      </w:r>
    </w:p>
    <w:p w14:paraId="07A1C03D" w14:textId="218EEFFC" w:rsidR="00EA5F59" w:rsidRDefault="004005B8" w:rsidP="00326923">
      <w:r>
        <w:rPr>
          <w:noProof/>
        </w:rPr>
        <w:drawing>
          <wp:inline distT="0" distB="0" distL="0" distR="0" wp14:anchorId="03995D0F" wp14:editId="6DA4CA10">
            <wp:extent cx="5760720" cy="965835"/>
            <wp:effectExtent l="0" t="0" r="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965835"/>
                    </a:xfrm>
                    <a:prstGeom prst="rect">
                      <a:avLst/>
                    </a:prstGeom>
                  </pic:spPr>
                </pic:pic>
              </a:graphicData>
            </a:graphic>
          </wp:inline>
        </w:drawing>
      </w:r>
    </w:p>
    <w:p w14:paraId="2A2C42CB" w14:textId="77777777" w:rsidR="004005B8" w:rsidRDefault="004005B8" w:rsidP="00326923"/>
    <w:p w14:paraId="6E48704F" w14:textId="081A5E1B" w:rsidR="00E15F25" w:rsidRPr="00326923" w:rsidRDefault="00E15F25" w:rsidP="00E15F25">
      <w:r>
        <w:t>Avec les Congé payé arrondi à l’entier supérieur (agent avec une quotité de temps de travail de 82%) :</w:t>
      </w:r>
    </w:p>
    <w:p w14:paraId="728EE086" w14:textId="60505E4B" w:rsidR="00E15F25" w:rsidRDefault="00EA5F59" w:rsidP="00326923">
      <w:r>
        <w:rPr>
          <w:noProof/>
        </w:rPr>
        <w:drawing>
          <wp:inline distT="0" distB="0" distL="0" distR="0" wp14:anchorId="063E59A3" wp14:editId="4BD8DA3E">
            <wp:extent cx="5760720" cy="90424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904240"/>
                    </a:xfrm>
                    <a:prstGeom prst="rect">
                      <a:avLst/>
                    </a:prstGeom>
                  </pic:spPr>
                </pic:pic>
              </a:graphicData>
            </a:graphic>
          </wp:inline>
        </w:drawing>
      </w:r>
    </w:p>
    <w:p w14:paraId="34A5E1DD" w14:textId="77777777" w:rsidR="00B45509" w:rsidRDefault="00B45509" w:rsidP="00326923"/>
    <w:p w14:paraId="49232B65" w14:textId="77777777" w:rsidR="00656F15" w:rsidRDefault="00656F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85730A8" w14:textId="7421A0CF" w:rsidR="00B45509" w:rsidRDefault="00B45509" w:rsidP="00B45509">
      <w:pPr>
        <w:pStyle w:val="Heading2"/>
      </w:pPr>
      <w:r w:rsidRPr="00B45509">
        <w:t>ER05 : La délivrance d'un diplôme proposera dorénavant également une case à cocher "Créditer automatiquement les FMPA" permettant de valider à 100% les FMPA de l'emploi pour l'agent à la date d'obtention du diplôme [Mantis #3802]</w:t>
      </w:r>
    </w:p>
    <w:p w14:paraId="187D46BD" w14:textId="240AF949" w:rsidR="00DF060A" w:rsidRDefault="00DF060A" w:rsidP="00DF060A">
      <w:r>
        <w:t>Les écrans</w:t>
      </w:r>
      <w:r w:rsidR="005C2330">
        <w:t xml:space="preserve"> « GRH </w:t>
      </w:r>
      <w:r w:rsidR="00732ACC">
        <w:t xml:space="preserve">&gt; </w:t>
      </w:r>
      <w:r w:rsidR="005C2330">
        <w:t>Etat des formations &gt; Diplômes</w:t>
      </w:r>
      <w:r w:rsidR="00732ACC">
        <w:t xml:space="preserve"> » et « GRH &gt; Etat des formations &gt; </w:t>
      </w:r>
      <w:r w:rsidR="00D559D4">
        <w:t>Délivrables</w:t>
      </w:r>
      <w:r w:rsidR="00C347B8">
        <w:t xml:space="preserve"> &gt; Internes </w:t>
      </w:r>
      <w:proofErr w:type="spellStart"/>
      <w:r w:rsidR="00C347B8">
        <w:t>dipl</w:t>
      </w:r>
      <w:r w:rsidR="00D559D4">
        <w:t>ômables</w:t>
      </w:r>
      <w:proofErr w:type="spellEnd"/>
      <w:r w:rsidR="00D559D4">
        <w:t xml:space="preserve"> par UV et Internes </w:t>
      </w:r>
      <w:proofErr w:type="spellStart"/>
      <w:r w:rsidR="00D559D4">
        <w:t>diplômables</w:t>
      </w:r>
      <w:proofErr w:type="spellEnd"/>
      <w:r w:rsidR="00D559D4">
        <w:t xml:space="preserve"> par emploi</w:t>
      </w:r>
      <w:r w:rsidR="00CF4796">
        <w:t> »</w:t>
      </w:r>
      <w:r w:rsidR="00B57A02">
        <w:t xml:space="preserve"> ont maintenant une case à cocher </w:t>
      </w:r>
      <w:r w:rsidR="00B57A02" w:rsidRPr="00B57A02">
        <w:t>"Créditer automatiquement les FMPA"</w:t>
      </w:r>
      <w:r w:rsidR="00B57A02">
        <w:t>. Si cette case est cochée alors les FMPA liée à l’emploi apparaîtrons comme à 100% et val</w:t>
      </w:r>
      <w:r w:rsidR="00825DC3">
        <w:t>idées dans les écrans FMPA.</w:t>
      </w:r>
    </w:p>
    <w:p w14:paraId="23BE112E" w14:textId="37747DEF" w:rsidR="00825DC3" w:rsidRDefault="00606EBC" w:rsidP="00DF060A">
      <w:r>
        <w:rPr>
          <w:noProof/>
        </w:rPr>
        <w:drawing>
          <wp:inline distT="0" distB="0" distL="0" distR="0" wp14:anchorId="0B10067B" wp14:editId="00A576D9">
            <wp:extent cx="5760720" cy="231394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313940"/>
                    </a:xfrm>
                    <a:prstGeom prst="rect">
                      <a:avLst/>
                    </a:prstGeom>
                  </pic:spPr>
                </pic:pic>
              </a:graphicData>
            </a:graphic>
          </wp:inline>
        </w:drawing>
      </w:r>
    </w:p>
    <w:p w14:paraId="6248841E" w14:textId="77777777" w:rsidR="00606EBC" w:rsidRDefault="00606EBC" w:rsidP="00DF060A"/>
    <w:p w14:paraId="33E120B9" w14:textId="44C40D5E" w:rsidR="00606EBC" w:rsidRDefault="008E6C78" w:rsidP="00DF060A">
      <w:r>
        <w:rPr>
          <w:noProof/>
        </w:rPr>
        <w:drawing>
          <wp:inline distT="0" distB="0" distL="0" distR="0" wp14:anchorId="3041968E" wp14:editId="5D0A72F4">
            <wp:extent cx="5760720" cy="20986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098675"/>
                    </a:xfrm>
                    <a:prstGeom prst="rect">
                      <a:avLst/>
                    </a:prstGeom>
                  </pic:spPr>
                </pic:pic>
              </a:graphicData>
            </a:graphic>
          </wp:inline>
        </w:drawing>
      </w:r>
    </w:p>
    <w:p w14:paraId="09302838" w14:textId="77777777" w:rsidR="00695B54" w:rsidRDefault="00695B54" w:rsidP="00DF060A"/>
    <w:p w14:paraId="324EADAA" w14:textId="0F304638" w:rsidR="00695B54" w:rsidRDefault="005328D8" w:rsidP="00DF060A">
      <w:r>
        <w:rPr>
          <w:noProof/>
        </w:rPr>
        <w:drawing>
          <wp:inline distT="0" distB="0" distL="0" distR="0" wp14:anchorId="4A0281C6" wp14:editId="37130558">
            <wp:extent cx="5760720" cy="145224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452245"/>
                    </a:xfrm>
                    <a:prstGeom prst="rect">
                      <a:avLst/>
                    </a:prstGeom>
                  </pic:spPr>
                </pic:pic>
              </a:graphicData>
            </a:graphic>
          </wp:inline>
        </w:drawing>
      </w:r>
    </w:p>
    <w:p w14:paraId="3D1F0EB9" w14:textId="77777777" w:rsidR="000B782D" w:rsidRDefault="000B782D" w:rsidP="00DF060A"/>
    <w:p w14:paraId="57F4C9F5" w14:textId="219FF2A7" w:rsidR="000B782D" w:rsidRPr="00DF060A" w:rsidRDefault="00576BB1" w:rsidP="00DF060A">
      <w:r>
        <w:rPr>
          <w:noProof/>
        </w:rPr>
        <w:drawing>
          <wp:inline distT="0" distB="0" distL="0" distR="0" wp14:anchorId="102CB9BA" wp14:editId="401E4C58">
            <wp:extent cx="5760720" cy="2143125"/>
            <wp:effectExtent l="0" t="0" r="0"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143125"/>
                    </a:xfrm>
                    <a:prstGeom prst="rect">
                      <a:avLst/>
                    </a:prstGeom>
                  </pic:spPr>
                </pic:pic>
              </a:graphicData>
            </a:graphic>
          </wp:inline>
        </w:drawing>
      </w:r>
    </w:p>
    <w:p w14:paraId="0B5A8801" w14:textId="3AF4C3C6" w:rsidR="00314E8F" w:rsidRDefault="00314E8F" w:rsidP="00314E8F">
      <w:pPr>
        <w:pStyle w:val="Heading2"/>
      </w:pPr>
      <w:r>
        <w:t xml:space="preserve">CR01 : </w:t>
      </w:r>
      <w:r w:rsidR="003561DD" w:rsidRPr="003561DD">
        <w:t>Correction de l'alignement des boutons de suppression de capacités de formation lorsque le bouton est désactivé ("GRH&gt;Détails des livrets individuels&gt;Formateur&gt;Capacités de formation") [Mantis #5643]</w:t>
      </w:r>
    </w:p>
    <w:p w14:paraId="552853B0" w14:textId="63204EA2" w:rsidR="009172A9" w:rsidRDefault="009172A9" w:rsidP="009172A9">
      <w:r>
        <w:t>Avant la correction :</w:t>
      </w:r>
    </w:p>
    <w:p w14:paraId="5EFD406E" w14:textId="580E7626" w:rsidR="009172A9" w:rsidRDefault="0052598A" w:rsidP="009172A9">
      <w:r>
        <w:rPr>
          <w:noProof/>
        </w:rPr>
        <w:drawing>
          <wp:inline distT="0" distB="0" distL="0" distR="0" wp14:anchorId="3DD77C00" wp14:editId="66FF1B69">
            <wp:extent cx="5760720" cy="175831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758315"/>
                    </a:xfrm>
                    <a:prstGeom prst="rect">
                      <a:avLst/>
                    </a:prstGeom>
                  </pic:spPr>
                </pic:pic>
              </a:graphicData>
            </a:graphic>
          </wp:inline>
        </w:drawing>
      </w:r>
    </w:p>
    <w:p w14:paraId="5D6DEC9D" w14:textId="77777777" w:rsidR="0059297F" w:rsidRDefault="0059297F" w:rsidP="009172A9"/>
    <w:p w14:paraId="1F7F8901" w14:textId="1806F190" w:rsidR="009172A9" w:rsidRDefault="009172A9" w:rsidP="009172A9">
      <w:r>
        <w:t xml:space="preserve">Après la correction : </w:t>
      </w:r>
    </w:p>
    <w:p w14:paraId="46EE450D" w14:textId="45FCC7EE" w:rsidR="00EB1158" w:rsidRPr="009172A9" w:rsidRDefault="00EB1158" w:rsidP="009172A9">
      <w:r>
        <w:rPr>
          <w:noProof/>
        </w:rPr>
        <w:drawing>
          <wp:inline distT="0" distB="0" distL="0" distR="0" wp14:anchorId="0D8ED0E0" wp14:editId="2EE89A16">
            <wp:extent cx="5760720" cy="173799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737995"/>
                    </a:xfrm>
                    <a:prstGeom prst="rect">
                      <a:avLst/>
                    </a:prstGeom>
                  </pic:spPr>
                </pic:pic>
              </a:graphicData>
            </a:graphic>
          </wp:inline>
        </w:drawing>
      </w:r>
    </w:p>
    <w:p w14:paraId="2B204D61" w14:textId="77777777" w:rsidR="00314E8F" w:rsidRDefault="00314E8F" w:rsidP="00314E8F">
      <w:pPr>
        <w:spacing w:after="160" w:line="259" w:lineRule="auto"/>
        <w:jc w:val="left"/>
      </w:pPr>
    </w:p>
    <w:p w14:paraId="15E6ECDF" w14:textId="77777777" w:rsidR="00656F15" w:rsidRDefault="00656F1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14552DD" w14:textId="6544A7D1" w:rsidR="00314E8F" w:rsidRDefault="00314E8F" w:rsidP="00314E8F">
      <w:pPr>
        <w:pStyle w:val="Heading1"/>
      </w:pPr>
      <w:r>
        <w:t>Gestion Administrative [En développement]</w:t>
      </w:r>
    </w:p>
    <w:p w14:paraId="2B88ACD9" w14:textId="42B3526C" w:rsidR="00314E8F" w:rsidRDefault="00314E8F" w:rsidP="00314E8F">
      <w:pPr>
        <w:pStyle w:val="Heading2"/>
      </w:pPr>
      <w:r w:rsidRPr="00DC03C5">
        <w:t xml:space="preserve">EV01 : </w:t>
      </w:r>
      <w:r w:rsidR="00AE0972" w:rsidRPr="00AE0972">
        <w:t>Ajout d'un bloc "GRH &gt; Situation Administrative" contenant les écrans "Historique des grades" et "Ancienneté de grades". L'ancienneté prend en compte les suspensions qui annule l'ancienneté ainsi que les périodes sans affectation de l'agent [Mantis #5437]</w:t>
      </w:r>
    </w:p>
    <w:p w14:paraId="09BC20C5" w14:textId="141AF6C0" w:rsidR="00877FF3" w:rsidRDefault="00877FF3" w:rsidP="0041601D">
      <w:r>
        <w:t>Seulement accessible via le module « Gestion Administrative ».</w:t>
      </w:r>
      <w:r w:rsidR="002F4928">
        <w:t xml:space="preserve"> L’activation du module « Gestion Administrative » est soumise à licence complémentaire.</w:t>
      </w:r>
    </w:p>
    <w:p w14:paraId="5AE5C940" w14:textId="77777777" w:rsidR="002F4928" w:rsidRDefault="002F4928" w:rsidP="0041601D"/>
    <w:p w14:paraId="6755ADBB" w14:textId="3F4450C9" w:rsidR="00D10C39" w:rsidRDefault="0041601D" w:rsidP="0041601D">
      <w:r>
        <w:t>Afin d’accéder au bloc « Situation Administrative »</w:t>
      </w:r>
      <w:r w:rsidR="0050618F">
        <w:t>, le</w:t>
      </w:r>
      <w:r w:rsidR="00D10C39">
        <w:t>s écrans doivent être rendus accessibles au rôle concerné via « Outils &gt; Droits &gt; Rôles &gt; Accès Menu &gt; GRH &gt; Situation Administrative »</w:t>
      </w:r>
      <w:r w:rsidR="00B416C2">
        <w:t>.</w:t>
      </w:r>
    </w:p>
    <w:p w14:paraId="248C45C5" w14:textId="3FF5854E" w:rsidR="00B416C2" w:rsidRDefault="00B416C2" w:rsidP="0041601D">
      <w:r>
        <w:rPr>
          <w:noProof/>
        </w:rPr>
        <w:drawing>
          <wp:inline distT="0" distB="0" distL="0" distR="0" wp14:anchorId="4907C718" wp14:editId="1053D640">
            <wp:extent cx="5760720" cy="727710"/>
            <wp:effectExtent l="0" t="0" r="0" b="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727710"/>
                    </a:xfrm>
                    <a:prstGeom prst="rect">
                      <a:avLst/>
                    </a:prstGeom>
                  </pic:spPr>
                </pic:pic>
              </a:graphicData>
            </a:graphic>
          </wp:inline>
        </w:drawing>
      </w:r>
    </w:p>
    <w:p w14:paraId="214E01E9" w14:textId="77777777" w:rsidR="00B416C2" w:rsidRDefault="00B416C2" w:rsidP="0041601D"/>
    <w:p w14:paraId="7E768F6D" w14:textId="247E7084" w:rsidR="00B416C2" w:rsidRDefault="00720F19" w:rsidP="0041601D">
      <w:r>
        <w:rPr>
          <w:noProof/>
        </w:rPr>
        <w:drawing>
          <wp:inline distT="0" distB="0" distL="0" distR="0" wp14:anchorId="21AF485A" wp14:editId="73343563">
            <wp:extent cx="5760720" cy="2215515"/>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215515"/>
                    </a:xfrm>
                    <a:prstGeom prst="rect">
                      <a:avLst/>
                    </a:prstGeom>
                  </pic:spPr>
                </pic:pic>
              </a:graphicData>
            </a:graphic>
          </wp:inline>
        </w:drawing>
      </w:r>
    </w:p>
    <w:p w14:paraId="709B39A1" w14:textId="77777777" w:rsidR="00720F19" w:rsidRPr="0041601D" w:rsidRDefault="00720F19" w:rsidP="0041601D"/>
    <w:p w14:paraId="355BBC07" w14:textId="447F4B10" w:rsidR="00314E8F" w:rsidRPr="00DC03C5" w:rsidRDefault="00685D0D" w:rsidP="00D80D01">
      <w:r>
        <w:rPr>
          <w:noProof/>
        </w:rPr>
        <w:drawing>
          <wp:inline distT="0" distB="0" distL="0" distR="0" wp14:anchorId="664B8D53" wp14:editId="537A1E3D">
            <wp:extent cx="5760720" cy="2201545"/>
            <wp:effectExtent l="0" t="0" r="0" b="8255"/>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201545"/>
                    </a:xfrm>
                    <a:prstGeom prst="rect">
                      <a:avLst/>
                    </a:prstGeom>
                  </pic:spPr>
                </pic:pic>
              </a:graphicData>
            </a:graphic>
          </wp:inline>
        </w:drawing>
      </w:r>
    </w:p>
    <w:p w14:paraId="1B491F0E" w14:textId="7CD013DA" w:rsidR="00314E8F" w:rsidRPr="00DC03C5" w:rsidRDefault="004E2791" w:rsidP="00314E8F">
      <w:pPr>
        <w:spacing w:after="160" w:line="259" w:lineRule="auto"/>
        <w:jc w:val="left"/>
      </w:pPr>
      <w:r>
        <w:t xml:space="preserve">Ce calcul tient compte </w:t>
      </w:r>
      <w:r w:rsidR="00D637FE">
        <w:t>des suspensions/arrêts avec déduction. Il est affiché en « années / mois / jours » et en « jours » afin de permettre une meilleure estimation humaine car la conversion de « jours » en « mois » a été mise à 30,45 jours/mois.</w:t>
      </w:r>
    </w:p>
    <w:p w14:paraId="1801E683" w14:textId="77777777" w:rsidR="00656F15" w:rsidRDefault="00656F1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5F390CA3" w14:textId="5719E8B9" w:rsidR="00314E8F" w:rsidRPr="00DC03C5" w:rsidRDefault="00314E8F" w:rsidP="00314E8F">
      <w:pPr>
        <w:pStyle w:val="Heading1"/>
      </w:pPr>
      <w:r w:rsidRPr="00DC03C5">
        <w:t>GPEC</w:t>
      </w:r>
    </w:p>
    <w:p w14:paraId="384D8151" w14:textId="3CB11DC4" w:rsidR="004D1F05" w:rsidRDefault="004D1F05" w:rsidP="004D1F05">
      <w:pPr>
        <w:pStyle w:val="Heading2"/>
      </w:pPr>
      <w:r w:rsidRPr="004D1F05">
        <w:t>EP01 : Les périmètres GPEC des postes et postes-types ("Outils &gt; Droits &gt; Périmètres &gt; GPEC") admettront dorénavant un critère par propriété des postes/postes-types [Mantis #5494]</w:t>
      </w:r>
    </w:p>
    <w:p w14:paraId="7D71E61E" w14:textId="774FA5A9" w:rsidR="00F037FC" w:rsidRDefault="00ED13AC" w:rsidP="00F037FC">
      <w:r>
        <w:t>Dans le rôle, il faut que l'écran soit en "lecture seule" + le droit action objet, dont le droit action objet "postes &gt; Postes - Périmètre de gestion &gt; selon périmètre &gt; lecture ou modification"</w:t>
      </w:r>
      <w:r w:rsidR="00B646AC">
        <w:t>.</w:t>
      </w:r>
    </w:p>
    <w:p w14:paraId="795D6EA9" w14:textId="7F1CE1AE" w:rsidR="00B646AC" w:rsidRDefault="00B646AC" w:rsidP="00F037FC">
      <w:r>
        <w:t>Lors de la configuration du périmètre, il est obligatoire de cocher les services.</w:t>
      </w:r>
    </w:p>
    <w:p w14:paraId="44E738E0" w14:textId="18B3A083" w:rsidR="00B646AC" w:rsidRPr="00F037FC" w:rsidRDefault="002612E2" w:rsidP="00F037FC">
      <w:r>
        <w:rPr>
          <w:noProof/>
        </w:rPr>
        <w:drawing>
          <wp:inline distT="0" distB="0" distL="0" distR="0" wp14:anchorId="3E2190CA" wp14:editId="2E08000E">
            <wp:extent cx="5760720" cy="2289810"/>
            <wp:effectExtent l="0" t="0" r="0" b="0"/>
            <wp:docPr id="1909224605" name="Image 19092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289810"/>
                    </a:xfrm>
                    <a:prstGeom prst="rect">
                      <a:avLst/>
                    </a:prstGeom>
                  </pic:spPr>
                </pic:pic>
              </a:graphicData>
            </a:graphic>
          </wp:inline>
        </w:drawing>
      </w:r>
    </w:p>
    <w:p w14:paraId="12DA4B7D" w14:textId="77777777" w:rsidR="00B8691A" w:rsidRDefault="004D1F05" w:rsidP="004D1F05">
      <w:pPr>
        <w:pStyle w:val="Heading2"/>
      </w:pPr>
      <w:r w:rsidRPr="004D1F05">
        <w:t>EP02 : Ajouter d'un droit "Action-Objet &gt; Postes-Agents &gt; Affectations futures (visibilité)" permettant d'indiquer si l'utilisateur peut, ou non (par défaut), voir les affectations futures d'un agent sur un poste [Mantis #5115]</w:t>
      </w:r>
    </w:p>
    <w:p w14:paraId="0BBD2E9F" w14:textId="7FC055D3" w:rsidR="00B8691A" w:rsidRDefault="00B8691A" w:rsidP="00B8691A">
      <w:r>
        <w:t>Dans « O</w:t>
      </w:r>
      <w:r w:rsidR="00A66B4D">
        <w:t>util &gt; Droits &gt; Rôles</w:t>
      </w:r>
      <w:r w:rsidR="00A66B4D" w:rsidRPr="00A66B4D">
        <w:t xml:space="preserve"> </w:t>
      </w:r>
      <w:r w:rsidR="00A66B4D">
        <w:t xml:space="preserve">&gt; </w:t>
      </w:r>
      <w:r w:rsidR="00A66B4D" w:rsidRPr="00A66B4D">
        <w:t>Action-Objet &gt; Postes-Agents</w:t>
      </w:r>
      <w:r w:rsidR="00A66B4D">
        <w:t xml:space="preserve"> », un nouveau droit permet de donner la visibilité sur les affectations futures sur des postes. </w:t>
      </w:r>
      <w:r w:rsidR="00E138D7">
        <w:t>Si</w:t>
      </w:r>
      <w:r w:rsidR="00A66B4D">
        <w:t xml:space="preserve"> le droit est en lecture, alors l’agent pourra visualiser l’affectation </w:t>
      </w:r>
      <w:r w:rsidR="00E138D7">
        <w:t>d’un agent à un poste à une date dans le futur.</w:t>
      </w:r>
    </w:p>
    <w:p w14:paraId="512D8B38" w14:textId="0A5BEB04" w:rsidR="00E138D7" w:rsidRDefault="00974000" w:rsidP="00B8691A">
      <w:r>
        <w:rPr>
          <w:noProof/>
        </w:rPr>
        <w:drawing>
          <wp:inline distT="0" distB="0" distL="0" distR="0" wp14:anchorId="0353B9A5" wp14:editId="423F70A8">
            <wp:extent cx="5760720" cy="360807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3608070"/>
                    </a:xfrm>
                    <a:prstGeom prst="rect">
                      <a:avLst/>
                    </a:prstGeom>
                  </pic:spPr>
                </pic:pic>
              </a:graphicData>
            </a:graphic>
          </wp:inline>
        </w:drawing>
      </w:r>
    </w:p>
    <w:p w14:paraId="4D98813A" w14:textId="77777777" w:rsidR="009A6C40" w:rsidRDefault="009A6C40" w:rsidP="00B8691A"/>
    <w:p w14:paraId="6A05A9F5" w14:textId="30F32CEB" w:rsidR="009A6C40" w:rsidRDefault="004C78D4" w:rsidP="00B8691A">
      <w:r>
        <w:rPr>
          <w:noProof/>
        </w:rPr>
        <w:drawing>
          <wp:inline distT="0" distB="0" distL="0" distR="0" wp14:anchorId="7C0EFDEC" wp14:editId="61CDC1BF">
            <wp:extent cx="5760720" cy="22758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275840"/>
                    </a:xfrm>
                    <a:prstGeom prst="rect">
                      <a:avLst/>
                    </a:prstGeom>
                  </pic:spPr>
                </pic:pic>
              </a:graphicData>
            </a:graphic>
          </wp:inline>
        </w:drawing>
      </w:r>
    </w:p>
    <w:p w14:paraId="5964BE96" w14:textId="77777777" w:rsidR="00570605" w:rsidRDefault="00570605" w:rsidP="00B8691A"/>
    <w:p w14:paraId="077E63CA" w14:textId="7FC8ACCF" w:rsidR="00570605" w:rsidRDefault="00B967F2" w:rsidP="00B8691A">
      <w:r>
        <w:t>Ecrans impactés où le poste dans le futur peut être visualisé :</w:t>
      </w:r>
    </w:p>
    <w:p w14:paraId="47F56FB1" w14:textId="43C6FA6C" w:rsidR="006F61E9" w:rsidRDefault="00380767" w:rsidP="007B32B5">
      <w:pPr>
        <w:pStyle w:val="ListParagraph"/>
        <w:numPr>
          <w:ilvl w:val="0"/>
          <w:numId w:val="31"/>
        </w:numPr>
      </w:pPr>
      <w:r>
        <w:t>GPEC &gt; Adéquation &gt; Par affectation</w:t>
      </w:r>
    </w:p>
    <w:p w14:paraId="1C74B5E3" w14:textId="797F107E" w:rsidR="0059421F" w:rsidRDefault="0059421F" w:rsidP="007B32B5">
      <w:pPr>
        <w:pStyle w:val="ListParagraph"/>
        <w:numPr>
          <w:ilvl w:val="0"/>
          <w:numId w:val="31"/>
        </w:numPr>
      </w:pPr>
      <w:r>
        <w:t>GRH &gt; Livrets individuels &gt; Détails des Livrets individuels &gt; Postes</w:t>
      </w:r>
    </w:p>
    <w:p w14:paraId="530E2CA5" w14:textId="5D975567" w:rsidR="009A6C40" w:rsidRDefault="009A6C40" w:rsidP="007B32B5">
      <w:pPr>
        <w:pStyle w:val="ListParagraph"/>
        <w:numPr>
          <w:ilvl w:val="0"/>
          <w:numId w:val="31"/>
        </w:numPr>
      </w:pPr>
      <w:r>
        <w:t>GPEC &gt; Postes &gt; Détails &gt; Agents affectés</w:t>
      </w:r>
    </w:p>
    <w:p w14:paraId="5AEC9064" w14:textId="50937114" w:rsidR="00380767" w:rsidRDefault="009A6C40" w:rsidP="007B32B5">
      <w:pPr>
        <w:pStyle w:val="ListParagraph"/>
        <w:numPr>
          <w:ilvl w:val="0"/>
          <w:numId w:val="31"/>
        </w:numPr>
      </w:pPr>
      <w:r>
        <w:t>GPPEC &gt; Rapport &gt; Quotité / Non affectés / Organigramme / Compétences</w:t>
      </w:r>
    </w:p>
    <w:p w14:paraId="0CF476C1" w14:textId="11CC05E7" w:rsidR="0006285E" w:rsidRDefault="0006285E" w:rsidP="0006285E">
      <w:pPr>
        <w:pStyle w:val="Heading2"/>
      </w:pPr>
      <w:r>
        <w:t>EP03A : Les propriétés GPEC admettront dorénavant des groupes de propriétés paramétrables dans l'écran "GPEC / Administration &gt; Propriétés &gt; Groupes de Propriétés" [Mantis #5319]</w:t>
      </w:r>
    </w:p>
    <w:p w14:paraId="7F97371A" w14:textId="297E970D" w:rsidR="004928A7" w:rsidRDefault="004928A7" w:rsidP="004928A7">
      <w:r>
        <w:t>Afin de pouvoir accéder à l’écran « Groupe de Propriété », il faut avant tout activer le droit correspondant dans « Outils &gt; Droits &gt; Rôles &gt; Accès Menu &gt; GPEC &gt; Propriétés</w:t>
      </w:r>
      <w:r w:rsidR="009018C5">
        <w:t xml:space="preserve"> &gt; Groupes de Propriétés ».</w:t>
      </w:r>
    </w:p>
    <w:p w14:paraId="544E151F" w14:textId="7FAEBE90" w:rsidR="009018C5" w:rsidRDefault="00B1315A" w:rsidP="004928A7">
      <w:r>
        <w:rPr>
          <w:noProof/>
        </w:rPr>
        <w:drawing>
          <wp:inline distT="0" distB="0" distL="0" distR="0" wp14:anchorId="6DD19724" wp14:editId="1E31F55F">
            <wp:extent cx="5760720" cy="272986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729865"/>
                    </a:xfrm>
                    <a:prstGeom prst="rect">
                      <a:avLst/>
                    </a:prstGeom>
                  </pic:spPr>
                </pic:pic>
              </a:graphicData>
            </a:graphic>
          </wp:inline>
        </w:drawing>
      </w:r>
    </w:p>
    <w:p w14:paraId="5600068A" w14:textId="77777777" w:rsidR="00B1315A" w:rsidRDefault="00B1315A" w:rsidP="004928A7"/>
    <w:p w14:paraId="73B7B051" w14:textId="59842811" w:rsidR="00B1315A" w:rsidRDefault="00061986" w:rsidP="004928A7">
      <w:r>
        <w:t xml:space="preserve">Les propriétés sont ensuite paramétrables dans </w:t>
      </w:r>
      <w:r w:rsidRPr="00061986">
        <w:t xml:space="preserve">"GPEC </w:t>
      </w:r>
      <w:r>
        <w:t xml:space="preserve">&gt; </w:t>
      </w:r>
      <w:r w:rsidRPr="00061986">
        <w:t>Administration &gt; Propriétés &gt; Groupes de Propriétés"</w:t>
      </w:r>
      <w:r>
        <w:t xml:space="preserve">. Une fois paramétrés les groupes peuvent être ajoutés à des propriétés. </w:t>
      </w:r>
    </w:p>
    <w:p w14:paraId="6D148A1A" w14:textId="2C5A5BB5" w:rsidR="00061986" w:rsidRDefault="00C54D2E" w:rsidP="004928A7">
      <w:r>
        <w:rPr>
          <w:noProof/>
        </w:rPr>
        <w:drawing>
          <wp:inline distT="0" distB="0" distL="0" distR="0" wp14:anchorId="217D0646" wp14:editId="25C26410">
            <wp:extent cx="5760720" cy="231965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319655"/>
                    </a:xfrm>
                    <a:prstGeom prst="rect">
                      <a:avLst/>
                    </a:prstGeom>
                  </pic:spPr>
                </pic:pic>
              </a:graphicData>
            </a:graphic>
          </wp:inline>
        </w:drawing>
      </w:r>
    </w:p>
    <w:p w14:paraId="7872BFDB" w14:textId="77777777" w:rsidR="00C54D2E" w:rsidRDefault="00C54D2E" w:rsidP="004928A7"/>
    <w:p w14:paraId="0E975521" w14:textId="332257DD" w:rsidR="00C54D2E" w:rsidRDefault="005E212B" w:rsidP="004928A7">
      <w:r>
        <w:rPr>
          <w:noProof/>
        </w:rPr>
        <w:drawing>
          <wp:inline distT="0" distB="0" distL="0" distR="0" wp14:anchorId="47918E67" wp14:editId="16191CB8">
            <wp:extent cx="5760720" cy="21786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2178685"/>
                    </a:xfrm>
                    <a:prstGeom prst="rect">
                      <a:avLst/>
                    </a:prstGeom>
                  </pic:spPr>
                </pic:pic>
              </a:graphicData>
            </a:graphic>
          </wp:inline>
        </w:drawing>
      </w:r>
    </w:p>
    <w:p w14:paraId="05D5FF3D" w14:textId="7DAD70E4" w:rsidR="0001092C" w:rsidRDefault="0001092C">
      <w:pPr>
        <w:spacing w:after="160" w:line="259" w:lineRule="auto"/>
        <w:jc w:val="left"/>
      </w:pPr>
      <w:r>
        <w:br w:type="page"/>
      </w:r>
    </w:p>
    <w:p w14:paraId="3460C0E1" w14:textId="58D98455" w:rsidR="0006285E" w:rsidRDefault="0006285E" w:rsidP="0006285E">
      <w:pPr>
        <w:pStyle w:val="Heading2"/>
      </w:pPr>
      <w:r>
        <w:t>EP03B : Les propriétés GPEC des postes et carrières admettront dorénavant une quotité si leur type est marqué "</w:t>
      </w:r>
      <w:proofErr w:type="spellStart"/>
      <w:r>
        <w:t>quotifiable</w:t>
      </w:r>
      <w:proofErr w:type="spellEnd"/>
      <w:r>
        <w:t>" dans l'écran "GPEC / Administration &gt; Propriétés &gt; Types de Propriétés" [Mantis #5319]</w:t>
      </w:r>
    </w:p>
    <w:p w14:paraId="75545B05" w14:textId="6A7AC3B4" w:rsidR="002B7AA5" w:rsidRPr="002B7AA5" w:rsidRDefault="002B7AA5" w:rsidP="002B7AA5">
      <w:r>
        <w:t>Cocher la case « </w:t>
      </w:r>
      <w:proofErr w:type="spellStart"/>
      <w:r>
        <w:t>Quotifiable</w:t>
      </w:r>
      <w:proofErr w:type="spellEnd"/>
      <w:r>
        <w:t> » dans les type</w:t>
      </w:r>
      <w:r w:rsidR="00B01E7F">
        <w:t>s</w:t>
      </w:r>
      <w:r>
        <w:t xml:space="preserve"> de propriété permet de pouvoir ajouter une quotité au niveau des postes-type et postes. </w:t>
      </w:r>
    </w:p>
    <w:p w14:paraId="209548AB" w14:textId="69D52356" w:rsidR="00C630E3" w:rsidRDefault="0074149B" w:rsidP="00C630E3">
      <w:r>
        <w:rPr>
          <w:noProof/>
        </w:rPr>
        <w:drawing>
          <wp:inline distT="0" distB="0" distL="0" distR="0" wp14:anchorId="30B997AC" wp14:editId="06AFB769">
            <wp:extent cx="5760720" cy="181927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819275"/>
                    </a:xfrm>
                    <a:prstGeom prst="rect">
                      <a:avLst/>
                    </a:prstGeom>
                  </pic:spPr>
                </pic:pic>
              </a:graphicData>
            </a:graphic>
          </wp:inline>
        </w:drawing>
      </w:r>
    </w:p>
    <w:p w14:paraId="11079A28" w14:textId="77777777" w:rsidR="00A809F7" w:rsidRDefault="00A809F7" w:rsidP="00C630E3"/>
    <w:p w14:paraId="6FFB4F02" w14:textId="74A8C866" w:rsidR="00A809F7" w:rsidRDefault="00AC5BEA" w:rsidP="00C630E3">
      <w:r>
        <w:rPr>
          <w:noProof/>
        </w:rPr>
        <w:drawing>
          <wp:inline distT="0" distB="0" distL="0" distR="0" wp14:anchorId="0A1CF5FB" wp14:editId="524B657B">
            <wp:extent cx="3459708" cy="2807581"/>
            <wp:effectExtent l="0" t="0" r="762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3471077" cy="2816807"/>
                    </a:xfrm>
                    <a:prstGeom prst="rect">
                      <a:avLst/>
                    </a:prstGeom>
                  </pic:spPr>
                </pic:pic>
              </a:graphicData>
            </a:graphic>
          </wp:inline>
        </w:drawing>
      </w:r>
    </w:p>
    <w:p w14:paraId="1406E594" w14:textId="77777777" w:rsidR="008F464C" w:rsidRDefault="008F464C" w:rsidP="00C630E3"/>
    <w:p w14:paraId="403FB8EF" w14:textId="3869FF79" w:rsidR="00314E8F" w:rsidRDefault="00E66F12" w:rsidP="00656F15">
      <w:r>
        <w:rPr>
          <w:noProof/>
        </w:rPr>
        <w:drawing>
          <wp:inline distT="0" distB="0" distL="0" distR="0" wp14:anchorId="0F416F2D" wp14:editId="452F2E1E">
            <wp:extent cx="5760720" cy="173799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737995"/>
                    </a:xfrm>
                    <a:prstGeom prst="rect">
                      <a:avLst/>
                    </a:prstGeom>
                  </pic:spPr>
                </pic:pic>
              </a:graphicData>
            </a:graphic>
          </wp:inline>
        </w:drawing>
      </w:r>
    </w:p>
    <w:p w14:paraId="1A54B05F" w14:textId="3DFEDA85" w:rsidR="0001092C" w:rsidRDefault="0001092C">
      <w:pPr>
        <w:spacing w:after="160" w:line="259" w:lineRule="auto"/>
        <w:jc w:val="left"/>
      </w:pPr>
      <w:r>
        <w:br w:type="page"/>
      </w:r>
    </w:p>
    <w:p w14:paraId="18F80BE0" w14:textId="76F8C237" w:rsidR="00314E8F" w:rsidRDefault="00314E8F" w:rsidP="00314E8F">
      <w:pPr>
        <w:pStyle w:val="Heading1"/>
      </w:pPr>
      <w:r>
        <w:t>Conventions Dispo SDIS-Employeur</w:t>
      </w:r>
    </w:p>
    <w:p w14:paraId="512E0FC9" w14:textId="77777777" w:rsidR="008C36B4" w:rsidRDefault="0072256D" w:rsidP="008C36B4">
      <w:pPr>
        <w:pStyle w:val="Heading2"/>
      </w:pPr>
      <w:r w:rsidRPr="0072256D">
        <w:t>ED01 : Ajout d'un onglet "Employeurs" dans le bloc "GRH &gt; Conventions" permettant une gestion plus complète des employeurs que l'écran "GRH / Administration &gt; Divers GRH &gt; Employeurs" [Mantis #5308]</w:t>
      </w:r>
    </w:p>
    <w:p w14:paraId="14CA97D8" w14:textId="412BAEB1" w:rsidR="008C36B4" w:rsidRDefault="008C36B4" w:rsidP="008C36B4">
      <w:pPr>
        <w:spacing w:after="160" w:line="259" w:lineRule="auto"/>
        <w:jc w:val="left"/>
      </w:pPr>
      <w:r>
        <w:t>Afin</w:t>
      </w:r>
      <w:r w:rsidR="00C027B3">
        <w:t xml:space="preserve"> de visualiser l’écran, il faut </w:t>
      </w:r>
      <w:r w:rsidR="007F1733">
        <w:t xml:space="preserve">d’abord </w:t>
      </w:r>
      <w:r w:rsidR="00C027B3">
        <w:t xml:space="preserve">modifier le rôle concerné via </w:t>
      </w:r>
      <w:r w:rsidR="005A6A0C">
        <w:t>« Outils &gt; Droits &gt; Rôles &gt; Ac</w:t>
      </w:r>
      <w:r w:rsidR="003F4BB4">
        <w:t>cès Menu &gt; GRH &gt; Convention &gt; Employeur »</w:t>
      </w:r>
      <w:r w:rsidR="007F1733">
        <w:t xml:space="preserve">, pour activer « Employeur ». </w:t>
      </w:r>
    </w:p>
    <w:p w14:paraId="46BEF254" w14:textId="18AA984D" w:rsidR="007F1733" w:rsidRDefault="001B550D" w:rsidP="008C36B4">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63A18329" wp14:editId="28E29681">
            <wp:extent cx="5760720" cy="88709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887095"/>
                    </a:xfrm>
                    <a:prstGeom prst="rect">
                      <a:avLst/>
                    </a:prstGeom>
                  </pic:spPr>
                </pic:pic>
              </a:graphicData>
            </a:graphic>
          </wp:inline>
        </w:drawing>
      </w:r>
    </w:p>
    <w:p w14:paraId="503B3AF5" w14:textId="026AA5AB" w:rsidR="000230FF" w:rsidRDefault="003940FA" w:rsidP="000230FF">
      <w:pPr>
        <w:spacing w:after="160" w:line="259" w:lineRule="auto"/>
        <w:jc w:val="left"/>
        <w:rPr>
          <w:rFonts w:asciiTheme="majorHAnsi" w:eastAsiaTheme="majorEastAsia" w:hAnsiTheme="majorHAnsi" w:cstheme="majorBidi"/>
          <w:color w:val="2F5496" w:themeColor="accent1" w:themeShade="BF"/>
          <w:sz w:val="24"/>
          <w:szCs w:val="24"/>
        </w:rPr>
      </w:pPr>
      <w:r>
        <w:rPr>
          <w:noProof/>
        </w:rPr>
        <w:drawing>
          <wp:inline distT="0" distB="0" distL="0" distR="0" wp14:anchorId="59724DDE" wp14:editId="26FAAD88">
            <wp:extent cx="5760720" cy="20097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2009775"/>
                    </a:xfrm>
                    <a:prstGeom prst="rect">
                      <a:avLst/>
                    </a:prstGeom>
                  </pic:spPr>
                </pic:pic>
              </a:graphicData>
            </a:graphic>
          </wp:inline>
        </w:drawing>
      </w:r>
    </w:p>
    <w:p w14:paraId="36BD9293" w14:textId="7E4FAAC2" w:rsidR="0044559B" w:rsidRDefault="000230FF" w:rsidP="0044559B">
      <w:r>
        <w:t>A noter</w:t>
      </w:r>
      <w:r w:rsidR="00891621">
        <w:t xml:space="preserve">, les textes encadrés ci-dessous peuvent être renommés via les traductions. </w:t>
      </w:r>
      <w:r w:rsidR="00891621">
        <w:br/>
        <w:t>Les libellés techniques sont</w:t>
      </w:r>
      <w:r w:rsidR="0044559B">
        <w:t> :</w:t>
      </w:r>
    </w:p>
    <w:p w14:paraId="21ACD7C3" w14:textId="35D585D0" w:rsidR="0044559B" w:rsidRDefault="0044559B" w:rsidP="0044559B">
      <w:r>
        <w:t>FS_EMPLOYEURS_AGENT (1)</w:t>
      </w:r>
    </w:p>
    <w:p w14:paraId="2366F958" w14:textId="12B0DB71" w:rsidR="0044559B" w:rsidRDefault="000B7B70" w:rsidP="0044559B">
      <w:r w:rsidRPr="000B7B70">
        <w:t>TXT_EMPLOYEURS_AGENT</w:t>
      </w:r>
      <w:r>
        <w:t xml:space="preserve"> </w:t>
      </w:r>
      <w:r w:rsidRPr="000B7B70">
        <w:t>et TXT_EMPLOYEURS_AGENTS</w:t>
      </w:r>
      <w:r>
        <w:t xml:space="preserve"> (2)</w:t>
      </w:r>
      <w:r w:rsidR="008F0D1E">
        <w:t xml:space="preserve"> </w:t>
      </w:r>
    </w:p>
    <w:p w14:paraId="7D622663" w14:textId="1CF12D5A" w:rsidR="008F0D1E" w:rsidRDefault="008F0D1E" w:rsidP="0044559B">
      <w:r>
        <w:t xml:space="preserve">Si un mot féminin est renseigné dans </w:t>
      </w:r>
      <w:r w:rsidRPr="000B7B70">
        <w:t>TXT_EMPLOYEURS_AGENT</w:t>
      </w:r>
      <w:r w:rsidR="00E66427">
        <w:t xml:space="preserve">, alors il faut ajouter «e» suivi d’un espace devant le mot afin qu’il ne soit pas considéré comme un mot au masculin. </w:t>
      </w:r>
      <w:r w:rsidR="00F306A4">
        <w:t xml:space="preserve">Le mot « convention » devra donc être saisi come « e convention ». Ceci est seulement valable pour </w:t>
      </w:r>
      <w:r w:rsidR="00F306A4" w:rsidRPr="000B7B70">
        <w:t>TXT_EMPLOYEURS_AGENT</w:t>
      </w:r>
      <w:r w:rsidR="00F306A4">
        <w:t xml:space="preserve"> et non pas pour </w:t>
      </w:r>
      <w:r w:rsidR="00F306A4" w:rsidRPr="000B7B70">
        <w:t>TXT_EMPLOYEURS_AGENT</w:t>
      </w:r>
      <w:r w:rsidR="00F306A4">
        <w:t xml:space="preserve">S. </w:t>
      </w:r>
    </w:p>
    <w:p w14:paraId="6B65874C" w14:textId="31045D64" w:rsidR="00F306A4" w:rsidRDefault="00F306A4" w:rsidP="0044559B"/>
    <w:p w14:paraId="145310E7" w14:textId="6512A5F9" w:rsidR="0044559B" w:rsidRPr="000230FF" w:rsidRDefault="002163F5" w:rsidP="000230FF">
      <w:r>
        <w:rPr>
          <w:noProof/>
        </w:rPr>
        <w:drawing>
          <wp:inline distT="0" distB="0" distL="0" distR="0" wp14:anchorId="5C2291E1" wp14:editId="7359D972">
            <wp:extent cx="5760720" cy="237998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379980"/>
                    </a:xfrm>
                    <a:prstGeom prst="rect">
                      <a:avLst/>
                    </a:prstGeom>
                  </pic:spPr>
                </pic:pic>
              </a:graphicData>
            </a:graphic>
          </wp:inline>
        </w:drawing>
      </w:r>
    </w:p>
    <w:p w14:paraId="6E32C919" w14:textId="463670A1" w:rsidR="0072256D" w:rsidRDefault="0072256D" w:rsidP="008C36B4">
      <w:pPr>
        <w:pStyle w:val="Heading2"/>
      </w:pPr>
      <w:r w:rsidRPr="0072256D">
        <w:t>ED02 : Ajout d'un suivi des statuts dans le détail des employeurs dans l'écran "GRH &gt; Conventions &gt; Employeurs" [Mantis #5308]</w:t>
      </w:r>
    </w:p>
    <w:p w14:paraId="318B9D37" w14:textId="0DCD987F" w:rsidR="00E22AB3" w:rsidRPr="00E22AB3" w:rsidRDefault="00E22AB3" w:rsidP="00E22AB3">
      <w:r>
        <w:rPr>
          <w:noProof/>
        </w:rPr>
        <w:drawing>
          <wp:inline distT="0" distB="0" distL="0" distR="0" wp14:anchorId="23600B38" wp14:editId="19A7E5FB">
            <wp:extent cx="5760720" cy="9366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t="4654"/>
                    <a:stretch/>
                  </pic:blipFill>
                  <pic:spPr bwMode="auto">
                    <a:xfrm>
                      <a:off x="0" y="0"/>
                      <a:ext cx="5760720" cy="936625"/>
                    </a:xfrm>
                    <a:prstGeom prst="rect">
                      <a:avLst/>
                    </a:prstGeom>
                    <a:ln>
                      <a:noFill/>
                    </a:ln>
                    <a:extLst>
                      <a:ext uri="{53640926-AAD7-44D8-BBD7-CCE9431645EC}">
                        <a14:shadowObscured xmlns:a14="http://schemas.microsoft.com/office/drawing/2010/main"/>
                      </a:ext>
                    </a:extLst>
                  </pic:spPr>
                </pic:pic>
              </a:graphicData>
            </a:graphic>
          </wp:inline>
        </w:drawing>
      </w:r>
    </w:p>
    <w:p w14:paraId="4A4297B5" w14:textId="557A8CD0" w:rsidR="0072256D" w:rsidRDefault="0072256D" w:rsidP="008C36B4">
      <w:pPr>
        <w:pStyle w:val="Heading2"/>
      </w:pPr>
      <w:r w:rsidRPr="0072256D">
        <w:t>ED03A : L'écran "GRH &gt; Conventions &gt; Employeurs" affichera dorénavant le dernier suivi ainsi que sa date dans la liste des employeurs [Mantis #5308]</w:t>
      </w:r>
    </w:p>
    <w:p w14:paraId="36525274" w14:textId="300EB271" w:rsidR="00CC6781" w:rsidRPr="00CC6781" w:rsidRDefault="003A4AAE" w:rsidP="00CC6781">
      <w:r>
        <w:rPr>
          <w:noProof/>
        </w:rPr>
        <w:drawing>
          <wp:inline distT="0" distB="0" distL="0" distR="0" wp14:anchorId="3EE068B3" wp14:editId="1D89BCA6">
            <wp:extent cx="5760720" cy="16459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screen">
                      <a:extLst>
                        <a:ext uri="{28A0092B-C50C-407E-A947-70E740481C1C}">
                          <a14:useLocalDpi xmlns:a14="http://schemas.microsoft.com/office/drawing/2010/main"/>
                        </a:ext>
                      </a:extLst>
                    </a:blip>
                    <a:srcRect b="7594"/>
                    <a:stretch/>
                  </pic:blipFill>
                  <pic:spPr bwMode="auto">
                    <a:xfrm>
                      <a:off x="0" y="0"/>
                      <a:ext cx="5760720" cy="1645920"/>
                    </a:xfrm>
                    <a:prstGeom prst="rect">
                      <a:avLst/>
                    </a:prstGeom>
                    <a:ln>
                      <a:noFill/>
                    </a:ln>
                    <a:extLst>
                      <a:ext uri="{53640926-AAD7-44D8-BBD7-CCE9431645EC}">
                        <a14:shadowObscured xmlns:a14="http://schemas.microsoft.com/office/drawing/2010/main"/>
                      </a:ext>
                    </a:extLst>
                  </pic:spPr>
                </pic:pic>
              </a:graphicData>
            </a:graphic>
          </wp:inline>
        </w:drawing>
      </w:r>
    </w:p>
    <w:p w14:paraId="67FFB3F0" w14:textId="5B7FD862" w:rsidR="0072256D" w:rsidRDefault="0072256D" w:rsidP="008C36B4">
      <w:pPr>
        <w:pStyle w:val="Heading2"/>
      </w:pPr>
      <w:r w:rsidRPr="0072256D">
        <w:t>ED03B : L'écran "GRH &gt; Conventions &gt; Employeurs" affichera dorénavant le nombre de conventions actives dans la liste des employeurs [Mantis #5308]</w:t>
      </w:r>
    </w:p>
    <w:p w14:paraId="529D04F6" w14:textId="6DE2B6F3" w:rsidR="003A4AAE" w:rsidRPr="003A4AAE" w:rsidRDefault="00D9257D" w:rsidP="003A4AAE">
      <w:r>
        <w:rPr>
          <w:noProof/>
        </w:rPr>
        <w:drawing>
          <wp:inline distT="0" distB="0" distL="0" distR="0" wp14:anchorId="2D917D51" wp14:editId="5879DD40">
            <wp:extent cx="5760720" cy="16611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screen">
                      <a:extLst>
                        <a:ext uri="{28A0092B-C50C-407E-A947-70E740481C1C}">
                          <a14:useLocalDpi xmlns:a14="http://schemas.microsoft.com/office/drawing/2010/main"/>
                        </a:ext>
                      </a:extLst>
                    </a:blip>
                    <a:srcRect b="8977"/>
                    <a:stretch/>
                  </pic:blipFill>
                  <pic:spPr bwMode="auto">
                    <a:xfrm>
                      <a:off x="0" y="0"/>
                      <a:ext cx="5760720" cy="1661160"/>
                    </a:xfrm>
                    <a:prstGeom prst="rect">
                      <a:avLst/>
                    </a:prstGeom>
                    <a:ln>
                      <a:noFill/>
                    </a:ln>
                    <a:extLst>
                      <a:ext uri="{53640926-AAD7-44D8-BBD7-CCE9431645EC}">
                        <a14:shadowObscured xmlns:a14="http://schemas.microsoft.com/office/drawing/2010/main"/>
                      </a:ext>
                    </a:extLst>
                  </pic:spPr>
                </pic:pic>
              </a:graphicData>
            </a:graphic>
          </wp:inline>
        </w:drawing>
      </w:r>
    </w:p>
    <w:p w14:paraId="57A6E117" w14:textId="428D7AA1" w:rsidR="0072256D" w:rsidRDefault="0072256D" w:rsidP="008C36B4">
      <w:pPr>
        <w:pStyle w:val="Heading2"/>
      </w:pPr>
      <w:r w:rsidRPr="0072256D">
        <w:t>ED04 : L'écran "GRH &gt; Conventions &gt; Employeurs-Agents" affichera dorénavant le dernier suivi ainsi que sa date dans la liste des conventions [Mantis #5308]</w:t>
      </w:r>
    </w:p>
    <w:p w14:paraId="48A64B81" w14:textId="1179EC69" w:rsidR="002F1E80" w:rsidRPr="002F1E80" w:rsidRDefault="002F1E80" w:rsidP="002F1E80">
      <w:r>
        <w:rPr>
          <w:noProof/>
        </w:rPr>
        <w:drawing>
          <wp:inline distT="0" distB="0" distL="0" distR="0" wp14:anchorId="0D6F3750" wp14:editId="14C64C9D">
            <wp:extent cx="5760720" cy="2049780"/>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b="4975"/>
                    <a:stretch/>
                  </pic:blipFill>
                  <pic:spPr bwMode="auto">
                    <a:xfrm>
                      <a:off x="0" y="0"/>
                      <a:ext cx="5760720" cy="2049780"/>
                    </a:xfrm>
                    <a:prstGeom prst="rect">
                      <a:avLst/>
                    </a:prstGeom>
                    <a:ln>
                      <a:noFill/>
                    </a:ln>
                    <a:extLst>
                      <a:ext uri="{53640926-AAD7-44D8-BBD7-CCE9431645EC}">
                        <a14:shadowObscured xmlns:a14="http://schemas.microsoft.com/office/drawing/2010/main"/>
                      </a:ext>
                    </a:extLst>
                  </pic:spPr>
                </pic:pic>
              </a:graphicData>
            </a:graphic>
          </wp:inline>
        </w:drawing>
      </w:r>
    </w:p>
    <w:p w14:paraId="283A84EC" w14:textId="77777777" w:rsidR="00656F15" w:rsidRDefault="00656F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A479FF0" w14:textId="1675ED97" w:rsidR="00314E8F" w:rsidRDefault="0072256D" w:rsidP="008C36B4">
      <w:pPr>
        <w:pStyle w:val="Heading2"/>
      </w:pPr>
      <w:r w:rsidRPr="0072256D">
        <w:t>ED05</w:t>
      </w:r>
      <w:r w:rsidR="002653C7">
        <w:t xml:space="preserve"> </w:t>
      </w:r>
      <w:r w:rsidRPr="0072256D">
        <w:t>: L'écran "GRH &gt; Conventions &gt; Partenariats" affichera dorénavant le dernier suivi ainsi que sa date dans la liste des partenariats [Mantis #5308]</w:t>
      </w:r>
    </w:p>
    <w:p w14:paraId="34EFA2B7" w14:textId="6B15A67E" w:rsidR="00AE0972" w:rsidRDefault="00676250" w:rsidP="00676250">
      <w:r>
        <w:rPr>
          <w:noProof/>
        </w:rPr>
        <w:drawing>
          <wp:inline distT="0" distB="0" distL="0" distR="0" wp14:anchorId="3F298F11" wp14:editId="70185955">
            <wp:extent cx="5760720" cy="1710055"/>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710055"/>
                    </a:xfrm>
                    <a:prstGeom prst="rect">
                      <a:avLst/>
                    </a:prstGeom>
                  </pic:spPr>
                </pic:pic>
              </a:graphicData>
            </a:graphic>
          </wp:inline>
        </w:drawing>
      </w:r>
    </w:p>
    <w:p w14:paraId="72B9A535" w14:textId="3E869D1F" w:rsidR="00AE0972" w:rsidRDefault="00AE0972" w:rsidP="00AE0972">
      <w:pPr>
        <w:pStyle w:val="Heading2"/>
      </w:pPr>
      <w:r>
        <w:t>ED06A : Nouveau groupe d'écran "GRH / Administration &gt; Autres indemnités" permettant de gérer les autres indemnités [Mantis #3253]</w:t>
      </w:r>
    </w:p>
    <w:p w14:paraId="50B98FD4" w14:textId="6AD5CFDB" w:rsidR="00E337C9" w:rsidRDefault="00E337C9" w:rsidP="00E337C9">
      <w:r>
        <w:t xml:space="preserve">Afin d’avoir accès </w:t>
      </w:r>
      <w:r w:rsidR="00177E0D">
        <w:t>à l’écran, le rôle doit être mis à jour via « Outils &gt; Droit</w:t>
      </w:r>
      <w:r w:rsidR="00064FF7">
        <w:t>s &gt; Rôles</w:t>
      </w:r>
      <w:r w:rsidR="003E1154">
        <w:t xml:space="preserve"> &gt; Accès Menu &gt; GRH &gt; Autres indemnités ».</w:t>
      </w:r>
    </w:p>
    <w:p w14:paraId="70C489D5" w14:textId="2CA40BAD" w:rsidR="003E1154" w:rsidRDefault="003E1154" w:rsidP="00E337C9">
      <w:r>
        <w:rPr>
          <w:noProof/>
        </w:rPr>
        <w:drawing>
          <wp:inline distT="0" distB="0" distL="0" distR="0" wp14:anchorId="2C60BE6C" wp14:editId="73788773">
            <wp:extent cx="5760720" cy="15316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531620"/>
                    </a:xfrm>
                    <a:prstGeom prst="rect">
                      <a:avLst/>
                    </a:prstGeom>
                  </pic:spPr>
                </pic:pic>
              </a:graphicData>
            </a:graphic>
          </wp:inline>
        </w:drawing>
      </w:r>
    </w:p>
    <w:p w14:paraId="4CB085CC" w14:textId="77777777" w:rsidR="003E1154" w:rsidRDefault="003E1154" w:rsidP="00E337C9"/>
    <w:p w14:paraId="7F1B53A3" w14:textId="7F192813" w:rsidR="00D60F8A" w:rsidRDefault="00D60F8A" w:rsidP="00E337C9">
      <w:r>
        <w:rPr>
          <w:noProof/>
        </w:rPr>
        <w:drawing>
          <wp:inline distT="0" distB="0" distL="0" distR="0" wp14:anchorId="032366F4" wp14:editId="553450AF">
            <wp:extent cx="5760720" cy="241554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415540"/>
                    </a:xfrm>
                    <a:prstGeom prst="rect">
                      <a:avLst/>
                    </a:prstGeom>
                  </pic:spPr>
                </pic:pic>
              </a:graphicData>
            </a:graphic>
          </wp:inline>
        </w:drawing>
      </w:r>
    </w:p>
    <w:p w14:paraId="1BDFD03A" w14:textId="77777777" w:rsidR="003E1154" w:rsidRPr="00E337C9" w:rsidRDefault="003E1154" w:rsidP="00E337C9"/>
    <w:p w14:paraId="67480E51" w14:textId="77777777" w:rsidR="00656F15" w:rsidRDefault="00656F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703C59C" w14:textId="680A1EAF" w:rsidR="00AE0972" w:rsidRDefault="00AE0972" w:rsidP="00AE0972">
      <w:pPr>
        <w:pStyle w:val="Heading2"/>
      </w:pPr>
      <w:r>
        <w:t>ED06B : L'écran "GRH &gt; Indemnités &gt; Activités" tiendra dorénavant compte des "autres indemnités" [Mantis #3253]</w:t>
      </w:r>
    </w:p>
    <w:p w14:paraId="7A33391F" w14:textId="3E56226E" w:rsidR="00D60F8A" w:rsidRPr="00D60F8A" w:rsidRDefault="00863688" w:rsidP="00D60F8A">
      <w:r>
        <w:rPr>
          <w:noProof/>
        </w:rPr>
        <w:drawing>
          <wp:inline distT="0" distB="0" distL="0" distR="0" wp14:anchorId="0973BBF1" wp14:editId="2B9B3C29">
            <wp:extent cx="5760720" cy="1998980"/>
            <wp:effectExtent l="0" t="0" r="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998980"/>
                    </a:xfrm>
                    <a:prstGeom prst="rect">
                      <a:avLst/>
                    </a:prstGeom>
                  </pic:spPr>
                </pic:pic>
              </a:graphicData>
            </a:graphic>
          </wp:inline>
        </w:drawing>
      </w:r>
    </w:p>
    <w:p w14:paraId="48E21DDD" w14:textId="224AC10D" w:rsidR="00AE0972" w:rsidRDefault="00AE0972" w:rsidP="00AE0972">
      <w:pPr>
        <w:pStyle w:val="Heading2"/>
      </w:pPr>
      <w:r>
        <w:t>ED06C : Les "autres indemnités" pourront être importées par le biais d'un fichier au format CSV [Mantis #3253]</w:t>
      </w:r>
    </w:p>
    <w:p w14:paraId="16B3592D" w14:textId="306DCD74" w:rsidR="009B62DB" w:rsidRDefault="00BF5188" w:rsidP="009B62DB">
      <w:r>
        <w:t>Paramétrer le fichier CSV selon les spécifications</w:t>
      </w:r>
      <w:r w:rsidR="00492D58">
        <w:t xml:space="preserve"> techniques.</w:t>
      </w:r>
    </w:p>
    <w:p w14:paraId="76E447E0" w14:textId="69E351DA" w:rsidR="00492D58" w:rsidRDefault="00492D58" w:rsidP="009B62DB">
      <w:r>
        <w:t>Ajouter le fichier dans le dossier des interfaces entrantes CSV.</w:t>
      </w:r>
    </w:p>
    <w:p w14:paraId="25320BB0" w14:textId="7AC0AA93" w:rsidR="00492D58" w:rsidRDefault="00492D58" w:rsidP="009B62DB">
      <w:r>
        <w:t>Si une activité dans le fichier n’existe pas dans GEEF, elle sera créée dans</w:t>
      </w:r>
      <w:r w:rsidR="0079031B">
        <w:t xml:space="preserve"> "GRH / Administration &gt; Autres indemnités"</w:t>
      </w:r>
      <w:r w:rsidR="00FC5743">
        <w:t>.</w:t>
      </w:r>
    </w:p>
    <w:p w14:paraId="48243FE9" w14:textId="6446A945" w:rsidR="0079031B" w:rsidRDefault="00801F71" w:rsidP="009B62DB">
      <w:r>
        <w:t>Ajouter le fichier créera des lignes dans « GRH &gt; Indemnités &gt; Activité</w:t>
      </w:r>
      <w:r w:rsidR="002B2D83">
        <w:t>s » :</w:t>
      </w:r>
    </w:p>
    <w:p w14:paraId="7DFB5277" w14:textId="25B9D9C2" w:rsidR="00314E8F" w:rsidRDefault="00F96B0B" w:rsidP="00656F15">
      <w:r>
        <w:rPr>
          <w:noProof/>
        </w:rPr>
        <w:drawing>
          <wp:inline distT="0" distB="0" distL="0" distR="0" wp14:anchorId="73A89679" wp14:editId="7414CE2F">
            <wp:extent cx="5760720" cy="393065"/>
            <wp:effectExtent l="0" t="0" r="0" b="6985"/>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393065"/>
                    </a:xfrm>
                    <a:prstGeom prst="rect">
                      <a:avLst/>
                    </a:prstGeom>
                  </pic:spPr>
                </pic:pic>
              </a:graphicData>
            </a:graphic>
          </wp:inline>
        </w:drawing>
      </w:r>
    </w:p>
    <w:p w14:paraId="21957BA0" w14:textId="77777777" w:rsidR="00FC5743" w:rsidRDefault="00FC5743" w:rsidP="00656F15"/>
    <w:p w14:paraId="603D073F" w14:textId="718C8B2C" w:rsidR="00FC5743" w:rsidRDefault="00FC5743" w:rsidP="00656F15">
      <w:r>
        <w:t>Les spécifications de cette interface entrante peuvent être transmis</w:t>
      </w:r>
      <w:r w:rsidR="0086318C">
        <w:t>es sur demande, cependant sa mise en œuvre peut être soumise à prestation complémentaire en cas de besoin de d’accompagnement.</w:t>
      </w:r>
    </w:p>
    <w:p w14:paraId="4202BD1F" w14:textId="7E1E1B0F" w:rsidR="0086318C" w:rsidRDefault="0086318C">
      <w:pPr>
        <w:spacing w:after="160" w:line="259" w:lineRule="auto"/>
        <w:jc w:val="left"/>
      </w:pPr>
      <w:r>
        <w:br w:type="page"/>
      </w:r>
    </w:p>
    <w:p w14:paraId="2D9796E4" w14:textId="68C45E4D" w:rsidR="00314E8F" w:rsidRDefault="00314E8F" w:rsidP="00314E8F">
      <w:pPr>
        <w:pStyle w:val="Heading1"/>
      </w:pPr>
      <w:r>
        <w:t>Formation</w:t>
      </w:r>
    </w:p>
    <w:p w14:paraId="2B8485D1" w14:textId="17D6C60A" w:rsidR="00314E8F" w:rsidRDefault="00314E8F" w:rsidP="00314E8F">
      <w:pPr>
        <w:pStyle w:val="Heading2"/>
      </w:pPr>
      <w:r>
        <w:t xml:space="preserve">EF01 : </w:t>
      </w:r>
      <w:r w:rsidR="00C77064" w:rsidRPr="00C77064">
        <w:t xml:space="preserve">Le catalogue des stages avec export au format PDF (bouton sur page d'accueil ou dans le "Libre-service &gt; Candidatures &gt; Stagiaire") devrait dorénavant ouvert le fichier PDF dans un autre onglet du navigateur [Mantis </w:t>
      </w:r>
      <w:r w:rsidR="00C77064">
        <w:t>#</w:t>
      </w:r>
      <w:r w:rsidR="00C77064" w:rsidRPr="00C77064">
        <w:t>5544]</w:t>
      </w:r>
    </w:p>
    <w:p w14:paraId="22AC2253" w14:textId="3B08FA4D" w:rsidR="005C194E" w:rsidRPr="005C194E" w:rsidRDefault="005C194E" w:rsidP="005C194E">
      <w:r>
        <w:rPr>
          <w:noProof/>
        </w:rPr>
        <w:drawing>
          <wp:inline distT="0" distB="0" distL="0" distR="0" wp14:anchorId="6277367C" wp14:editId="2DFB0AF3">
            <wp:extent cx="5760720" cy="1864995"/>
            <wp:effectExtent l="0" t="0" r="0" b="1905"/>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864995"/>
                    </a:xfrm>
                    <a:prstGeom prst="rect">
                      <a:avLst/>
                    </a:prstGeom>
                  </pic:spPr>
                </pic:pic>
              </a:graphicData>
            </a:graphic>
          </wp:inline>
        </w:drawing>
      </w:r>
    </w:p>
    <w:p w14:paraId="0D5B982F" w14:textId="65E3BDB8" w:rsidR="00C77064" w:rsidRDefault="00E06720" w:rsidP="00293E8E">
      <w:pPr>
        <w:pStyle w:val="Heading2"/>
      </w:pPr>
      <w:r w:rsidRPr="00E06720">
        <w:t xml:space="preserve">EF02 : L'écran "GRH / Administration &gt; Statuts et Filières &gt; Statuts" permettra dorénavant d'attribuer une couleur aux statuts qui permettra de colorer les blocs repliables des écrans "Libre-Service &gt; Candidatures &gt; Stagiaires" et "Libre-Service &gt; Candidatures &gt; Formateurs" - la couleur blanche (par défaut) sera ignorée [Mantis </w:t>
      </w:r>
      <w:r w:rsidR="00293E8E">
        <w:t>#</w:t>
      </w:r>
      <w:r w:rsidRPr="00E06720">
        <w:t>5537]</w:t>
      </w:r>
    </w:p>
    <w:p w14:paraId="030F0A82" w14:textId="099645CC" w:rsidR="00146815" w:rsidRDefault="00146815" w:rsidP="00146815">
      <w:r>
        <w:rPr>
          <w:noProof/>
        </w:rPr>
        <w:drawing>
          <wp:inline distT="0" distB="0" distL="0" distR="0" wp14:anchorId="650053E3" wp14:editId="04386E6A">
            <wp:extent cx="5760720" cy="21844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2184400"/>
                    </a:xfrm>
                    <a:prstGeom prst="rect">
                      <a:avLst/>
                    </a:prstGeom>
                  </pic:spPr>
                </pic:pic>
              </a:graphicData>
            </a:graphic>
          </wp:inline>
        </w:drawing>
      </w:r>
    </w:p>
    <w:p w14:paraId="401CDE5D" w14:textId="77777777" w:rsidR="00146815" w:rsidRPr="00146815" w:rsidRDefault="00146815" w:rsidP="00146815"/>
    <w:p w14:paraId="2DA555F4" w14:textId="002E0C3B" w:rsidR="003639EB" w:rsidRDefault="003639EB" w:rsidP="003639EB">
      <w:r>
        <w:rPr>
          <w:noProof/>
        </w:rPr>
        <w:drawing>
          <wp:inline distT="0" distB="0" distL="0" distR="0" wp14:anchorId="0197D934" wp14:editId="1FEE3950">
            <wp:extent cx="5760720" cy="15601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560195"/>
                    </a:xfrm>
                    <a:prstGeom prst="rect">
                      <a:avLst/>
                    </a:prstGeom>
                  </pic:spPr>
                </pic:pic>
              </a:graphicData>
            </a:graphic>
          </wp:inline>
        </w:drawing>
      </w:r>
    </w:p>
    <w:p w14:paraId="4520B4D6" w14:textId="12C65C52" w:rsidR="00B30F34" w:rsidRDefault="00B30F34">
      <w:pPr>
        <w:spacing w:after="160" w:line="259" w:lineRule="auto"/>
        <w:jc w:val="left"/>
      </w:pPr>
      <w:r>
        <w:br w:type="page"/>
      </w:r>
    </w:p>
    <w:p w14:paraId="71099529" w14:textId="44F4FDF3" w:rsidR="00187B0D" w:rsidRDefault="00187B0D" w:rsidP="00314E8F">
      <w:pPr>
        <w:pStyle w:val="Heading2"/>
      </w:pPr>
      <w:r w:rsidRPr="00187B0D">
        <w:t>EF03 : L'écran "Plan de Formation &gt; Suivi Budgétaire &gt; Mouvements" affichera dorénavant à nouveau l'intitulé de la session dans la liste [Mantis #5579]</w:t>
      </w:r>
    </w:p>
    <w:p w14:paraId="05BF35E3" w14:textId="340C73E1" w:rsidR="00475DF8" w:rsidRDefault="00475DF8" w:rsidP="00475DF8">
      <w:r>
        <w:rPr>
          <w:noProof/>
        </w:rPr>
        <w:drawing>
          <wp:inline distT="0" distB="0" distL="0" distR="0" wp14:anchorId="5CC65401" wp14:editId="041C2548">
            <wp:extent cx="5760720" cy="1955165"/>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955165"/>
                    </a:xfrm>
                    <a:prstGeom prst="rect">
                      <a:avLst/>
                    </a:prstGeom>
                  </pic:spPr>
                </pic:pic>
              </a:graphicData>
            </a:graphic>
          </wp:inline>
        </w:drawing>
      </w:r>
    </w:p>
    <w:p w14:paraId="01A244FB" w14:textId="1E9B47B9" w:rsidR="00BB4F09" w:rsidRDefault="00BB4F09" w:rsidP="00BB4F09">
      <w:pPr>
        <w:pStyle w:val="Heading2"/>
      </w:pPr>
      <w:r w:rsidRPr="00BB4F09">
        <w:t>EF04 : Les dossards des événements sportifs au format standard afficheront dorénavant l'équipe et l'épreuve assignée au participant lorsque celles-ci ont été définies - à défaut d'équipe, l'affectation d'inscription, à défaut, l'affectation principale de l'agent - En cas d'assignation d'épreuve, le numéro de dossard sera sur 90pt plutôt que 120pt [Pas de Mantis]</w:t>
      </w:r>
    </w:p>
    <w:p w14:paraId="055BBD18" w14:textId="4D19759B" w:rsidR="00F012FE" w:rsidRPr="00F012FE" w:rsidRDefault="00F012FE" w:rsidP="00F012FE">
      <w:r>
        <w:t xml:space="preserve">Avec répartition d’équipe : </w:t>
      </w:r>
    </w:p>
    <w:p w14:paraId="001D1DA0" w14:textId="1659FE22" w:rsidR="000C7208" w:rsidRDefault="000C7208" w:rsidP="000C7208">
      <w:r>
        <w:rPr>
          <w:noProof/>
        </w:rPr>
        <w:drawing>
          <wp:inline distT="0" distB="0" distL="0" distR="0" wp14:anchorId="157727B6" wp14:editId="19BF330E">
            <wp:extent cx="5760720" cy="2715895"/>
            <wp:effectExtent l="0" t="0" r="0" b="8255"/>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715895"/>
                    </a:xfrm>
                    <a:prstGeom prst="rect">
                      <a:avLst/>
                    </a:prstGeom>
                  </pic:spPr>
                </pic:pic>
              </a:graphicData>
            </a:graphic>
          </wp:inline>
        </w:drawing>
      </w:r>
    </w:p>
    <w:p w14:paraId="74B54433" w14:textId="77777777" w:rsidR="00086414" w:rsidRDefault="00086414" w:rsidP="000C7208"/>
    <w:p w14:paraId="6CA249D7" w14:textId="28F7B7D7" w:rsidR="00B30F34" w:rsidRDefault="00B30F34">
      <w:pPr>
        <w:spacing w:after="160" w:line="259" w:lineRule="auto"/>
        <w:jc w:val="left"/>
      </w:pPr>
      <w:r>
        <w:br w:type="page"/>
      </w:r>
    </w:p>
    <w:p w14:paraId="33DFEBBF" w14:textId="11CE8759" w:rsidR="00086414" w:rsidRDefault="00086414" w:rsidP="000C7208">
      <w:r>
        <w:t>Sans équipe :</w:t>
      </w:r>
    </w:p>
    <w:p w14:paraId="7FAA50C8" w14:textId="1389CF34" w:rsidR="00086414" w:rsidRDefault="00945A6F" w:rsidP="000C7208">
      <w:r>
        <w:rPr>
          <w:noProof/>
        </w:rPr>
        <w:drawing>
          <wp:inline distT="0" distB="0" distL="0" distR="0" wp14:anchorId="28DEAD66" wp14:editId="6AA9EEAC">
            <wp:extent cx="5760720" cy="2707640"/>
            <wp:effectExtent l="0" t="0" r="0" b="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2707640"/>
                    </a:xfrm>
                    <a:prstGeom prst="rect">
                      <a:avLst/>
                    </a:prstGeom>
                  </pic:spPr>
                </pic:pic>
              </a:graphicData>
            </a:graphic>
          </wp:inline>
        </w:drawing>
      </w:r>
    </w:p>
    <w:p w14:paraId="19FC70BD" w14:textId="1E8736FD" w:rsidR="00252027" w:rsidRDefault="00252027" w:rsidP="00252027">
      <w:pPr>
        <w:pStyle w:val="Heading2"/>
      </w:pPr>
      <w:r>
        <w:t>EF05 : L'export "Bon de commande" des commandes de repas de l'écran "Formation &gt; Logistique &gt; Repas" affichera dorénavant le commentaire dans la zone de titre pour les repas hors sessions avec la variable "Feuille de présence - modèle" sur la valeur "95" [Mantis #5274]</w:t>
      </w:r>
    </w:p>
    <w:p w14:paraId="0D994A4E" w14:textId="6F5EBD87" w:rsidR="00252027" w:rsidRDefault="00252027" w:rsidP="00252027">
      <w:r>
        <w:t>Avec le paramètre "Feuille de présence - modèle" sur une autre valeur que "95" :</w:t>
      </w:r>
    </w:p>
    <w:p w14:paraId="47F357F2" w14:textId="48EAE2DC" w:rsidR="00252027" w:rsidRDefault="00653E3F" w:rsidP="00252027">
      <w:r>
        <w:rPr>
          <w:noProof/>
        </w:rPr>
        <w:drawing>
          <wp:inline distT="0" distB="0" distL="0" distR="0" wp14:anchorId="760DF067" wp14:editId="321307DE">
            <wp:extent cx="5760720" cy="1820545"/>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1820545"/>
                    </a:xfrm>
                    <a:prstGeom prst="rect">
                      <a:avLst/>
                    </a:prstGeom>
                  </pic:spPr>
                </pic:pic>
              </a:graphicData>
            </a:graphic>
          </wp:inline>
        </w:drawing>
      </w:r>
    </w:p>
    <w:p w14:paraId="66033986" w14:textId="77777777" w:rsidR="00653E3F" w:rsidRDefault="00653E3F" w:rsidP="00252027"/>
    <w:p w14:paraId="261BA1CC" w14:textId="0523147B" w:rsidR="00653E3F" w:rsidRDefault="00653E3F" w:rsidP="00653E3F">
      <w:r>
        <w:t>Avec le paramètre "Feuille de présence - modèle" sur la valeur "95" :</w:t>
      </w:r>
    </w:p>
    <w:p w14:paraId="5E5AA532" w14:textId="70BC8747" w:rsidR="00653E3F" w:rsidRDefault="00265C2D" w:rsidP="00252027">
      <w:r>
        <w:rPr>
          <w:noProof/>
        </w:rPr>
        <w:drawing>
          <wp:inline distT="0" distB="0" distL="0" distR="0" wp14:anchorId="0B9EA243" wp14:editId="55E4418F">
            <wp:extent cx="5760720" cy="1786255"/>
            <wp:effectExtent l="0" t="0" r="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786255"/>
                    </a:xfrm>
                    <a:prstGeom prst="rect">
                      <a:avLst/>
                    </a:prstGeom>
                  </pic:spPr>
                </pic:pic>
              </a:graphicData>
            </a:graphic>
          </wp:inline>
        </w:drawing>
      </w:r>
    </w:p>
    <w:p w14:paraId="6FEB8BEC" w14:textId="3A63CD34" w:rsidR="00B30F34" w:rsidRDefault="00B30F34">
      <w:pPr>
        <w:spacing w:after="160" w:line="259" w:lineRule="auto"/>
        <w:jc w:val="left"/>
      </w:pPr>
      <w:r>
        <w:br w:type="page"/>
      </w:r>
    </w:p>
    <w:p w14:paraId="30E3F9E2" w14:textId="084C5BB0" w:rsidR="00CD3876" w:rsidRDefault="00252027" w:rsidP="00252027">
      <w:pPr>
        <w:pStyle w:val="Heading2"/>
      </w:pPr>
      <w:r>
        <w:t>EF06 : Les cases à cocher "Retenir la date d'applicabilité" et "Inclure avant la date" de l'écran "Formation &gt; Stages &gt; Alertes Stagiaires" seront dorénavant cochées par défaut [Pas de Mantis]</w:t>
      </w:r>
    </w:p>
    <w:p w14:paraId="72456EDB" w14:textId="5A5A91B0" w:rsidR="00433AAA" w:rsidRPr="00433AAA" w:rsidRDefault="00433AAA" w:rsidP="00433AAA">
      <w:r>
        <w:rPr>
          <w:noProof/>
        </w:rPr>
        <w:drawing>
          <wp:inline distT="0" distB="0" distL="0" distR="0" wp14:anchorId="5F93F5E9" wp14:editId="4488E0E1">
            <wp:extent cx="5760720" cy="74930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749300"/>
                    </a:xfrm>
                    <a:prstGeom prst="rect">
                      <a:avLst/>
                    </a:prstGeom>
                  </pic:spPr>
                </pic:pic>
              </a:graphicData>
            </a:graphic>
          </wp:inline>
        </w:drawing>
      </w:r>
    </w:p>
    <w:p w14:paraId="5146982C" w14:textId="16A001F3" w:rsidR="00C549CC" w:rsidRDefault="00C549CC" w:rsidP="00C549CC">
      <w:pPr>
        <w:pStyle w:val="Heading2"/>
      </w:pPr>
      <w:r>
        <w:t>EF07A : L'écran "Formation / Administration &gt; Divers Formation &gt; Taux horaires" admettra dorénavant une date d'effet sur les taux - la base sera automatiquement alimentée avec les anciens taux avec une date d'application au 1er janvier 1900 [Mantis #2848]</w:t>
      </w:r>
    </w:p>
    <w:p w14:paraId="121F7149" w14:textId="2CB1DA18" w:rsidR="00B627DA" w:rsidRDefault="00B627DA" w:rsidP="00B627DA">
      <w:r>
        <w:rPr>
          <w:noProof/>
        </w:rPr>
        <w:drawing>
          <wp:inline distT="0" distB="0" distL="0" distR="0" wp14:anchorId="3E089772" wp14:editId="0F7AEF42">
            <wp:extent cx="5760720" cy="2274570"/>
            <wp:effectExtent l="0" t="0" r="0" b="0"/>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274570"/>
                    </a:xfrm>
                    <a:prstGeom prst="rect">
                      <a:avLst/>
                    </a:prstGeom>
                  </pic:spPr>
                </pic:pic>
              </a:graphicData>
            </a:graphic>
          </wp:inline>
        </w:drawing>
      </w:r>
    </w:p>
    <w:p w14:paraId="1E3219FC" w14:textId="43DE3ED4" w:rsidR="00B30F34" w:rsidRPr="00B627DA" w:rsidRDefault="00B30F34" w:rsidP="00B627DA">
      <w:r>
        <w:t xml:space="preserve">Cette écran pourra prochainement subir une revue graphique afin de le rendre </w:t>
      </w:r>
      <w:r w:rsidR="00A63A84">
        <w:t>plus ergonomique pour la saisie des nouveaux taux.</w:t>
      </w:r>
    </w:p>
    <w:p w14:paraId="48148DBF" w14:textId="1C48AEFF" w:rsidR="00C549CC" w:rsidRDefault="00C549CC" w:rsidP="00C549CC">
      <w:pPr>
        <w:pStyle w:val="Heading2"/>
      </w:pPr>
      <w:r w:rsidRPr="00B671E4">
        <w:t>EF07B : Les écrans "Formation &gt; Coûts des sessions &gt; Coûts des sessions &gt; Stagiaires" et "Formateurs" afficheront dorénavant le détail des présences avec les taux horaires applicables [Mantis #2848]</w:t>
      </w:r>
    </w:p>
    <w:p w14:paraId="18669FC0" w14:textId="1AEC6DAB" w:rsidR="00977EA2" w:rsidRDefault="00977EA2" w:rsidP="00977EA2">
      <w:r>
        <w:t>La colonne</w:t>
      </w:r>
      <w:r w:rsidR="00616DC9">
        <w:t xml:space="preserve"> « Taux horaires » ne s’affichera que si les taux horaires applicables ont été renseignés par l’interface</w:t>
      </w:r>
      <w:r w:rsidR="003349A0">
        <w:t xml:space="preserve"> de paiement des indemnités. Autrement elle restera masquée.</w:t>
      </w:r>
    </w:p>
    <w:p w14:paraId="2CE0EB38" w14:textId="1AA1D6DD" w:rsidR="003349A0" w:rsidRDefault="00B671E4" w:rsidP="00977EA2">
      <w:r>
        <w:rPr>
          <w:noProof/>
        </w:rPr>
        <w:drawing>
          <wp:inline distT="0" distB="0" distL="0" distR="0" wp14:anchorId="4DBC9528" wp14:editId="2A308D90">
            <wp:extent cx="5760720" cy="1706880"/>
            <wp:effectExtent l="0" t="0" r="0" b="7620"/>
            <wp:docPr id="1909224606" name="Image 19092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706880"/>
                    </a:xfrm>
                    <a:prstGeom prst="rect">
                      <a:avLst/>
                    </a:prstGeom>
                  </pic:spPr>
                </pic:pic>
              </a:graphicData>
            </a:graphic>
          </wp:inline>
        </w:drawing>
      </w:r>
    </w:p>
    <w:p w14:paraId="2D6DE1FC" w14:textId="6B835C08" w:rsidR="0036079B" w:rsidRDefault="0036079B">
      <w:pPr>
        <w:spacing w:after="160" w:line="259" w:lineRule="auto"/>
        <w:jc w:val="left"/>
      </w:pPr>
      <w:r>
        <w:br w:type="page"/>
      </w:r>
    </w:p>
    <w:p w14:paraId="1FD416F9" w14:textId="3CAA3500" w:rsidR="00C549CC" w:rsidRDefault="00C549CC" w:rsidP="00C549CC">
      <w:pPr>
        <w:pStyle w:val="Heading2"/>
      </w:pPr>
      <w:r>
        <w:t>EF08 : L'écran "Formation &gt; Gestion des FMPA &gt; Enregistrement des FMPA réalisées" proposera dorénavant deux nouveaux filtres permettant de cadrer le taux de validation financière des séances - en fonction des droits de l'utilisateur et des options activées sur le sujet [Mantis #5290]</w:t>
      </w:r>
    </w:p>
    <w:p w14:paraId="5CFBB9BB" w14:textId="579FDE73" w:rsidR="00DC7BC8" w:rsidRDefault="00345A59" w:rsidP="00DC7BC8">
      <w:r>
        <w:rPr>
          <w:noProof/>
        </w:rPr>
        <w:drawing>
          <wp:inline distT="0" distB="0" distL="0" distR="0" wp14:anchorId="2B25C01D" wp14:editId="44E8A3D0">
            <wp:extent cx="5760720" cy="2225040"/>
            <wp:effectExtent l="0" t="0" r="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2225040"/>
                    </a:xfrm>
                    <a:prstGeom prst="rect">
                      <a:avLst/>
                    </a:prstGeom>
                  </pic:spPr>
                </pic:pic>
              </a:graphicData>
            </a:graphic>
          </wp:inline>
        </w:drawing>
      </w:r>
    </w:p>
    <w:p w14:paraId="2EF8DB81" w14:textId="77777777" w:rsidR="00B86154" w:rsidRDefault="00B86154" w:rsidP="00DC7BC8"/>
    <w:p w14:paraId="39417C49" w14:textId="7798C074" w:rsidR="00B86154" w:rsidRDefault="00B86154" w:rsidP="00DC7BC8">
      <w:r>
        <w:t xml:space="preserve">Si </w:t>
      </w:r>
      <w:r w:rsidR="00193C84">
        <w:t>dans le rôle de l’utilisateur :</w:t>
      </w:r>
    </w:p>
    <w:p w14:paraId="607048FA" w14:textId="3C3CC3EC" w:rsidR="00193C84" w:rsidRDefault="00193C84" w:rsidP="00DC7BC8">
      <w:r>
        <w:t xml:space="preserve">Accès Menu &gt; </w:t>
      </w:r>
      <w:r w:rsidR="001D55A3">
        <w:t>Formation &gt; Gestion des FMPA &gt; Validation groupement à l’état « Refusé »</w:t>
      </w:r>
      <w:r w:rsidR="00C56BF7">
        <w:t>, et</w:t>
      </w:r>
    </w:p>
    <w:p w14:paraId="45BF8EA1" w14:textId="7431B438" w:rsidR="00C56BF7" w:rsidRDefault="00C56BF7" w:rsidP="00DC7BC8">
      <w:r>
        <w:t>Actions-objet &gt; FMPA réalisé</w:t>
      </w:r>
      <w:r w:rsidR="00656BFF">
        <w:t>e tous à « Refusé »</w:t>
      </w:r>
    </w:p>
    <w:p w14:paraId="575BD806" w14:textId="3B9708B7" w:rsidR="00656BFF" w:rsidRPr="00DC7BC8" w:rsidRDefault="00656BFF" w:rsidP="00DC7BC8">
      <w:r>
        <w:t xml:space="preserve">Alors l’utilisateur n’aura pas accès aux filtres de validation financière. </w:t>
      </w:r>
    </w:p>
    <w:p w14:paraId="567AC561" w14:textId="3FD64991" w:rsidR="00D0394A" w:rsidRPr="000055DC" w:rsidRDefault="00D0394A" w:rsidP="000055DC">
      <w:pPr>
        <w:pStyle w:val="Heading2"/>
      </w:pPr>
      <w:r>
        <w:t>EF09 : Lorsqu'aucun objectif n'est affecté au département, les objectifs cumulés des services des niveaux inférieurs seront affichés à la place dans l'écran "Plan de Formation &gt; Arbitrage &gt; Niveau département" [Mantis #5652]</w:t>
      </w:r>
    </w:p>
    <w:p w14:paraId="4A24707C" w14:textId="7F10D448" w:rsidR="00670F24" w:rsidRDefault="005E194A" w:rsidP="00670F24">
      <w:r>
        <w:t>Si aucun objectif n’est saisi au niveau du département :</w:t>
      </w:r>
    </w:p>
    <w:p w14:paraId="5481731B" w14:textId="14F3B978" w:rsidR="005E194A" w:rsidRDefault="00565A68" w:rsidP="00670F24">
      <w:r>
        <w:rPr>
          <w:noProof/>
        </w:rPr>
        <w:drawing>
          <wp:inline distT="0" distB="0" distL="0" distR="0" wp14:anchorId="651EF7B3" wp14:editId="7508E6AC">
            <wp:extent cx="5760720" cy="2096770"/>
            <wp:effectExtent l="0" t="0" r="0" b="0"/>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096770"/>
                    </a:xfrm>
                    <a:prstGeom prst="rect">
                      <a:avLst/>
                    </a:prstGeom>
                  </pic:spPr>
                </pic:pic>
              </a:graphicData>
            </a:graphic>
          </wp:inline>
        </w:drawing>
      </w:r>
    </w:p>
    <w:p w14:paraId="46A2D5C2" w14:textId="77777777" w:rsidR="00565A68" w:rsidRDefault="00565A68" w:rsidP="00670F24"/>
    <w:p w14:paraId="4961FA83" w14:textId="4EE27B02" w:rsidR="00565A68" w:rsidRDefault="00826F8D" w:rsidP="00670F24">
      <w:r>
        <w:rPr>
          <w:noProof/>
        </w:rPr>
        <w:drawing>
          <wp:inline distT="0" distB="0" distL="0" distR="0" wp14:anchorId="6195CD2C" wp14:editId="19F4DE38">
            <wp:extent cx="5760720" cy="2392045"/>
            <wp:effectExtent l="0" t="0" r="0" b="8255"/>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2392045"/>
                    </a:xfrm>
                    <a:prstGeom prst="rect">
                      <a:avLst/>
                    </a:prstGeom>
                  </pic:spPr>
                </pic:pic>
              </a:graphicData>
            </a:graphic>
          </wp:inline>
        </w:drawing>
      </w:r>
    </w:p>
    <w:p w14:paraId="625BC570" w14:textId="77777777" w:rsidR="00826F8D" w:rsidRDefault="00826F8D" w:rsidP="00670F24"/>
    <w:p w14:paraId="51724813" w14:textId="7F47E503" w:rsidR="00826F8D" w:rsidRDefault="00826F8D" w:rsidP="00670F24">
      <w:r>
        <w:t>Si un objectif est saisi au niveau du département :</w:t>
      </w:r>
    </w:p>
    <w:p w14:paraId="4BDB8B11" w14:textId="4CC15D74" w:rsidR="00826F8D" w:rsidRDefault="00BD4B2D" w:rsidP="00670F24">
      <w:r>
        <w:rPr>
          <w:noProof/>
        </w:rPr>
        <w:drawing>
          <wp:inline distT="0" distB="0" distL="0" distR="0" wp14:anchorId="312B17B7" wp14:editId="3D2F93AB">
            <wp:extent cx="5760720" cy="1916430"/>
            <wp:effectExtent l="0" t="0" r="0" b="7620"/>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916430"/>
                    </a:xfrm>
                    <a:prstGeom prst="rect">
                      <a:avLst/>
                    </a:prstGeom>
                  </pic:spPr>
                </pic:pic>
              </a:graphicData>
            </a:graphic>
          </wp:inline>
        </w:drawing>
      </w:r>
    </w:p>
    <w:p w14:paraId="05CC45FD" w14:textId="77777777" w:rsidR="00BD4B2D" w:rsidRDefault="00BD4B2D" w:rsidP="00670F24"/>
    <w:p w14:paraId="59D1BE99" w14:textId="0110C1AB" w:rsidR="00BD4B2D" w:rsidRDefault="00215CD7" w:rsidP="00670F24">
      <w:r>
        <w:rPr>
          <w:noProof/>
        </w:rPr>
        <w:drawing>
          <wp:inline distT="0" distB="0" distL="0" distR="0" wp14:anchorId="7AE27072" wp14:editId="198165B5">
            <wp:extent cx="5760720" cy="2296795"/>
            <wp:effectExtent l="0" t="0" r="0" b="8255"/>
            <wp:docPr id="1909224598" name="Image 19092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296795"/>
                    </a:xfrm>
                    <a:prstGeom prst="rect">
                      <a:avLst/>
                    </a:prstGeom>
                  </pic:spPr>
                </pic:pic>
              </a:graphicData>
            </a:graphic>
          </wp:inline>
        </w:drawing>
      </w:r>
    </w:p>
    <w:p w14:paraId="2F259118" w14:textId="4F3C0A5A" w:rsidR="00822F0C" w:rsidRDefault="00822F0C">
      <w:pPr>
        <w:spacing w:after="160" w:line="259" w:lineRule="auto"/>
        <w:jc w:val="left"/>
      </w:pPr>
      <w:r>
        <w:br w:type="page"/>
      </w:r>
    </w:p>
    <w:p w14:paraId="3EF30337" w14:textId="547CB680" w:rsidR="00D0394A" w:rsidRDefault="00D0394A" w:rsidP="00D0394A">
      <w:pPr>
        <w:pStyle w:val="Heading2"/>
      </w:pPr>
      <w:r>
        <w:t xml:space="preserve">EF10 : Mise à jour du logo </w:t>
      </w:r>
      <w:proofErr w:type="spellStart"/>
      <w:r>
        <w:t>Qualiopi</w:t>
      </w:r>
      <w:proofErr w:type="spellEnd"/>
      <w:r>
        <w:t xml:space="preserve"> [Mantis #5089]</w:t>
      </w:r>
    </w:p>
    <w:p w14:paraId="45267BF5" w14:textId="75DE696B" w:rsidR="00043A8A" w:rsidRDefault="00043A8A" w:rsidP="00043A8A">
      <w:r>
        <w:rPr>
          <w:noProof/>
        </w:rPr>
        <w:drawing>
          <wp:inline distT="0" distB="0" distL="0" distR="0" wp14:anchorId="707F29E0" wp14:editId="6BF96304">
            <wp:extent cx="5760720" cy="1935480"/>
            <wp:effectExtent l="0" t="0" r="0" b="762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screen">
                      <a:extLst>
                        <a:ext uri="{28A0092B-C50C-407E-A947-70E740481C1C}">
                          <a14:useLocalDpi xmlns:a14="http://schemas.microsoft.com/office/drawing/2010/main"/>
                        </a:ext>
                      </a:extLst>
                    </a:blip>
                    <a:srcRect b="27704"/>
                    <a:stretch/>
                  </pic:blipFill>
                  <pic:spPr bwMode="auto">
                    <a:xfrm>
                      <a:off x="0" y="0"/>
                      <a:ext cx="5760720" cy="1935480"/>
                    </a:xfrm>
                    <a:prstGeom prst="rect">
                      <a:avLst/>
                    </a:prstGeom>
                    <a:ln>
                      <a:noFill/>
                    </a:ln>
                    <a:extLst>
                      <a:ext uri="{53640926-AAD7-44D8-BBD7-CCE9431645EC}">
                        <a14:shadowObscured xmlns:a14="http://schemas.microsoft.com/office/drawing/2010/main"/>
                      </a:ext>
                    </a:extLst>
                  </pic:spPr>
                </pic:pic>
              </a:graphicData>
            </a:graphic>
          </wp:inline>
        </w:drawing>
      </w:r>
    </w:p>
    <w:p w14:paraId="185839DF" w14:textId="4C81D0E6" w:rsidR="00822F0C" w:rsidRPr="00043A8A" w:rsidRDefault="00822F0C" w:rsidP="00043A8A">
      <w:r>
        <w:t>La partie « République Française » du logo a été supprimé.</w:t>
      </w:r>
    </w:p>
    <w:p w14:paraId="0BCF1AD1" w14:textId="6935A946" w:rsidR="00D0394A" w:rsidRDefault="00D0394A" w:rsidP="00D0394A">
      <w:pPr>
        <w:pStyle w:val="Heading2"/>
      </w:pPr>
      <w:r>
        <w:t>EF11 : Le blocage des inscriptions d'agents sur des FMPA sur centre en cas de séance concomitante ne bloquera dorénavant plus un agent n'ayant participé qu'à une partie de la FMPA (validation partielle - en cas d'état "échec", la durée de la séquence reste considérée) [Mantis #5654]</w:t>
      </w:r>
    </w:p>
    <w:p w14:paraId="3C01D0E8" w14:textId="3DA4F6D2" w:rsidR="003C629C" w:rsidRDefault="00A27AD7" w:rsidP="003C629C">
      <w:r>
        <w:t>Lors de l’ajo</w:t>
      </w:r>
      <w:r w:rsidR="00D52B9C">
        <w:t xml:space="preserve">ut des participants à une FMPA sur centre, un agent ne peut pas être ajouté </w:t>
      </w:r>
      <w:r w:rsidR="004D7B1A">
        <w:t>s’il</w:t>
      </w:r>
      <w:r w:rsidR="00D52B9C">
        <w:t xml:space="preserve"> est inscrit sur une autre FMPA au même moment. Si sur cette autre FMPA</w:t>
      </w:r>
      <w:r w:rsidR="004D7B1A">
        <w:t xml:space="preserve"> l’agent est en validation partielle</w:t>
      </w:r>
      <w:r w:rsidR="00442922">
        <w:t xml:space="preserve"> alors </w:t>
      </w:r>
      <w:r w:rsidR="00E32931">
        <w:t>il ne sera que partiellement bloqué pour les autres FMPA.</w:t>
      </w:r>
    </w:p>
    <w:p w14:paraId="0ADFD4D6" w14:textId="77777777" w:rsidR="005603E2" w:rsidRDefault="005603E2" w:rsidP="003C629C"/>
    <w:p w14:paraId="7B9CE7D5" w14:textId="0F834A5B" w:rsidR="00E32931" w:rsidRDefault="00E32931" w:rsidP="003C629C">
      <w:r>
        <w:t>Exe</w:t>
      </w:r>
      <w:r w:rsidR="002A7BF0">
        <w:t xml:space="preserve">mple : un agent participe à une FMPA de </w:t>
      </w:r>
      <w:r w:rsidR="004D5A38">
        <w:t xml:space="preserve">2 heures qui débute à 7h00, il ne peut pas être inscrit sur une autre FMPA qui débute le même jour à 8h00. </w:t>
      </w:r>
      <w:r w:rsidR="00116B3D">
        <w:t xml:space="preserve">On le met en validation partielle, avec 1 heure effectuée sur </w:t>
      </w:r>
      <w:r w:rsidR="00870D75">
        <w:t>la première</w:t>
      </w:r>
      <w:r w:rsidR="00171F0A">
        <w:t xml:space="preserve"> FMPA, il sera donc éligible pour participer à celle débutant à 8h00. </w:t>
      </w:r>
    </w:p>
    <w:p w14:paraId="5B522398" w14:textId="6725D06B" w:rsidR="006371D8" w:rsidRDefault="006371D8" w:rsidP="003C629C">
      <w:r>
        <w:rPr>
          <w:noProof/>
        </w:rPr>
        <w:drawing>
          <wp:inline distT="0" distB="0" distL="0" distR="0" wp14:anchorId="7F457C1C" wp14:editId="2C35D960">
            <wp:extent cx="5760720" cy="2077720"/>
            <wp:effectExtent l="0" t="0" r="0" b="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077720"/>
                    </a:xfrm>
                    <a:prstGeom prst="rect">
                      <a:avLst/>
                    </a:prstGeom>
                  </pic:spPr>
                </pic:pic>
              </a:graphicData>
            </a:graphic>
          </wp:inline>
        </w:drawing>
      </w:r>
    </w:p>
    <w:p w14:paraId="33A72651" w14:textId="77777777" w:rsidR="005603E2" w:rsidRDefault="005603E2" w:rsidP="003C629C"/>
    <w:p w14:paraId="36E755DA" w14:textId="4D22EF25" w:rsidR="006371D8" w:rsidRPr="003C629C" w:rsidRDefault="005C0584" w:rsidP="003C629C">
      <w:r>
        <w:rPr>
          <w:noProof/>
        </w:rPr>
        <w:drawing>
          <wp:inline distT="0" distB="0" distL="0" distR="0" wp14:anchorId="503D4C36" wp14:editId="5854B22A">
            <wp:extent cx="5760720" cy="1623060"/>
            <wp:effectExtent l="0" t="0" r="0" b="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screen">
                      <a:extLst>
                        <a:ext uri="{28A0092B-C50C-407E-A947-70E740481C1C}">
                          <a14:useLocalDpi xmlns:a14="http://schemas.microsoft.com/office/drawing/2010/main"/>
                        </a:ext>
                      </a:extLst>
                    </a:blip>
                    <a:srcRect b="20744"/>
                    <a:stretch/>
                  </pic:blipFill>
                  <pic:spPr bwMode="auto">
                    <a:xfrm>
                      <a:off x="0" y="0"/>
                      <a:ext cx="5760720" cy="1623060"/>
                    </a:xfrm>
                    <a:prstGeom prst="rect">
                      <a:avLst/>
                    </a:prstGeom>
                    <a:ln>
                      <a:noFill/>
                    </a:ln>
                    <a:extLst>
                      <a:ext uri="{53640926-AAD7-44D8-BBD7-CCE9431645EC}">
                        <a14:shadowObscured xmlns:a14="http://schemas.microsoft.com/office/drawing/2010/main"/>
                      </a:ext>
                    </a:extLst>
                  </pic:spPr>
                </pic:pic>
              </a:graphicData>
            </a:graphic>
          </wp:inline>
        </w:drawing>
      </w:r>
    </w:p>
    <w:p w14:paraId="2344827E" w14:textId="42EA31E2" w:rsidR="00D0394A" w:rsidRDefault="00D0394A" w:rsidP="00D0394A">
      <w:pPr>
        <w:pStyle w:val="Heading2"/>
      </w:pPr>
      <w:r>
        <w:t xml:space="preserve">EF12 : </w:t>
      </w:r>
      <w:r w:rsidR="00CA5025" w:rsidRPr="00CA5025">
        <w:t>L'écran "Formation &gt; Gestion des FMPA &gt; Détails des FMPA réalisées &gt; Séquence (liste des participants)" permettra dorénavant de cocher les lignes modifiables pour une suppression en masse [Mantis #5661]</w:t>
      </w:r>
    </w:p>
    <w:p w14:paraId="65CEE636" w14:textId="104F0D1B" w:rsidR="00016486" w:rsidRPr="00016486" w:rsidRDefault="00016486" w:rsidP="00016486">
      <w:r>
        <w:rPr>
          <w:noProof/>
        </w:rPr>
        <w:drawing>
          <wp:inline distT="0" distB="0" distL="0" distR="0" wp14:anchorId="43B673CA" wp14:editId="5B701992">
            <wp:extent cx="5760720" cy="2089150"/>
            <wp:effectExtent l="0" t="0" r="0" b="635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089150"/>
                    </a:xfrm>
                    <a:prstGeom prst="rect">
                      <a:avLst/>
                    </a:prstGeom>
                  </pic:spPr>
                </pic:pic>
              </a:graphicData>
            </a:graphic>
          </wp:inline>
        </w:drawing>
      </w:r>
    </w:p>
    <w:p w14:paraId="3B313182" w14:textId="6E2B512A" w:rsidR="00D0394A" w:rsidRDefault="00D0394A" w:rsidP="00D0394A">
      <w:pPr>
        <w:pStyle w:val="Heading2"/>
      </w:pPr>
      <w:r>
        <w:t>EF13 : L'écran "Formation &gt; Gestion des FMPA &gt; Détails des FMPA réalisées &gt; Nouvelle séquence" permettra dorénavant de cocher/décocher une case "Ajouter le(a)(s) participant(e)(s) de(s) autre(s) séquence(s) de la séance" (cette case n'ayant, bien entendu, aucun effet sur les nouvelles séances ou les séances sans participant - elle ne devrait apparaitre que lorsqu'elle peut avoir un effet) [Mantis #5642]</w:t>
      </w:r>
    </w:p>
    <w:p w14:paraId="351218FB" w14:textId="237766A2" w:rsidR="0038059A" w:rsidRPr="0038059A" w:rsidRDefault="0038059A" w:rsidP="0038059A">
      <w:r>
        <w:rPr>
          <w:noProof/>
        </w:rPr>
        <w:drawing>
          <wp:inline distT="0" distB="0" distL="0" distR="0" wp14:anchorId="36A92806" wp14:editId="7C0699C8">
            <wp:extent cx="5760720" cy="209550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095500"/>
                    </a:xfrm>
                    <a:prstGeom prst="rect">
                      <a:avLst/>
                    </a:prstGeom>
                  </pic:spPr>
                </pic:pic>
              </a:graphicData>
            </a:graphic>
          </wp:inline>
        </w:drawing>
      </w:r>
    </w:p>
    <w:p w14:paraId="6DDC53DA" w14:textId="37168E98" w:rsidR="00181970" w:rsidRDefault="00181970" w:rsidP="00181970">
      <w:pPr>
        <w:pStyle w:val="Heading2"/>
      </w:pPr>
      <w:r>
        <w:t>EF14 : L'écran "Formation &gt; Planification &gt; Sessions" proposera dorénavant un filtre par propriété des formations appliquées aux sessions [Mantis #4888]</w:t>
      </w:r>
    </w:p>
    <w:p w14:paraId="18CDF693" w14:textId="79CF82B2" w:rsidR="0088711E" w:rsidRDefault="00900598" w:rsidP="0088711E">
      <w:r>
        <w:rPr>
          <w:noProof/>
        </w:rPr>
        <w:drawing>
          <wp:inline distT="0" distB="0" distL="0" distR="0" wp14:anchorId="03BB6089" wp14:editId="2C9D00E8">
            <wp:extent cx="5760720" cy="1774825"/>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1774825"/>
                    </a:xfrm>
                    <a:prstGeom prst="rect">
                      <a:avLst/>
                    </a:prstGeom>
                  </pic:spPr>
                </pic:pic>
              </a:graphicData>
            </a:graphic>
          </wp:inline>
        </w:drawing>
      </w:r>
    </w:p>
    <w:p w14:paraId="00FE6A2F" w14:textId="3B3C480B" w:rsidR="007965E2" w:rsidRDefault="007965E2">
      <w:pPr>
        <w:spacing w:after="160" w:line="259" w:lineRule="auto"/>
        <w:jc w:val="left"/>
      </w:pPr>
      <w:r>
        <w:br w:type="page"/>
      </w:r>
    </w:p>
    <w:p w14:paraId="0ECE2C06" w14:textId="17898D9F" w:rsidR="00181970" w:rsidRDefault="00181970" w:rsidP="00181970">
      <w:pPr>
        <w:pStyle w:val="Heading2"/>
      </w:pPr>
      <w:r>
        <w:t>EF15 : Les propriété des formations proposeront dorénavant une case à cocher "disponible dans les filtres" ("Formation / Administration &gt; Propriétés Formation &gt; Propriétés") permettant d'afficher/masquer ces propriétés dans les filtres ("Formation &gt; Planification &gt; Sessions" et "Formation &gt; Coûts des Sessions &gt; Bilan Financier") [Mantis #4888]</w:t>
      </w:r>
    </w:p>
    <w:p w14:paraId="2D520F13" w14:textId="46AB14C9" w:rsidR="00900598" w:rsidRDefault="00DA6549" w:rsidP="00900598">
      <w:r>
        <w:t xml:space="preserve">Si la case « Disponible dans les filtres » est cochée, alors la propriété concernée et la liste de valeur associée </w:t>
      </w:r>
      <w:r w:rsidR="004B2820">
        <w:t>ne seront pas disponible dans les filtres par pro</w:t>
      </w:r>
      <w:r w:rsidR="006B1798">
        <w:t xml:space="preserve">priété de formation. </w:t>
      </w:r>
    </w:p>
    <w:p w14:paraId="50EEF2BB" w14:textId="709A5165" w:rsidR="004C0A9D" w:rsidRDefault="004C0A9D" w:rsidP="00900598">
      <w:r>
        <w:t xml:space="preserve">Si aucune propriété de formation n’est cochée comme « Disponible dans les filtres », alors les filtres n’apparaîtront pas dans les écrans concernés. </w:t>
      </w:r>
    </w:p>
    <w:p w14:paraId="635E60C6" w14:textId="205BCE4D" w:rsidR="00953756" w:rsidRDefault="00953756" w:rsidP="00900598">
      <w:r>
        <w:rPr>
          <w:noProof/>
        </w:rPr>
        <w:drawing>
          <wp:inline distT="0" distB="0" distL="0" distR="0" wp14:anchorId="7D063490" wp14:editId="6C445901">
            <wp:extent cx="5760720" cy="2561590"/>
            <wp:effectExtent l="0" t="0" r="0" b="0"/>
            <wp:docPr id="1909224578" name="Image 1909224578" descr="Une image contenant texte, capture d’écran, portable,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8" name="Image 1909224578" descr="Une image contenant texte, capture d’écran, portable, plusieurs&#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561590"/>
                    </a:xfrm>
                    <a:prstGeom prst="rect">
                      <a:avLst/>
                    </a:prstGeom>
                  </pic:spPr>
                </pic:pic>
              </a:graphicData>
            </a:graphic>
          </wp:inline>
        </w:drawing>
      </w:r>
    </w:p>
    <w:p w14:paraId="7E818CAC" w14:textId="63C82C53" w:rsidR="00FC3D2D" w:rsidRDefault="00FC3D2D" w:rsidP="00FC3D2D">
      <w:pPr>
        <w:pStyle w:val="Heading2"/>
      </w:pPr>
      <w:r>
        <w:t>EF16 : Les notifications personnalisées (déclenchées par interfaces autom</w:t>
      </w:r>
      <w:r w:rsidR="00062450">
        <w:t>a</w:t>
      </w:r>
      <w:r>
        <w:t>tiques sortantes) seront dorénavant envoyées sur les sessions à régulariser [Pas de Mantis]</w:t>
      </w:r>
    </w:p>
    <w:p w14:paraId="0BA1C483" w14:textId="034B28C0" w:rsidR="00476918" w:rsidRPr="00476918" w:rsidRDefault="00476918" w:rsidP="00476918">
      <w:r w:rsidRPr="00E0631C">
        <w:t>Point technique – aucune illustration possible.</w:t>
      </w:r>
    </w:p>
    <w:p w14:paraId="4B8EC3D5" w14:textId="11595761" w:rsidR="00FC3D2D" w:rsidRDefault="00FC3D2D" w:rsidP="00FC3D2D">
      <w:pPr>
        <w:pStyle w:val="Heading2"/>
      </w:pPr>
      <w:r>
        <w:t>EF17 : La liste des sessions ("Formation &gt; Sessions &gt; Liste des sessions") proposera dorénavant un filtre "type de contenu" permettant de filtrer les sessions contenant des UV, des FMPA, des épreuves ou un mixe des 3 [Mantis #5422]</w:t>
      </w:r>
    </w:p>
    <w:p w14:paraId="5B8FB8A0" w14:textId="13E8324D" w:rsidR="003A5F11" w:rsidRDefault="00E65D27" w:rsidP="003A5F11">
      <w:r>
        <w:t>Le filtre est disponible dans « Plus de filtre ».</w:t>
      </w:r>
    </w:p>
    <w:p w14:paraId="6AE287E8" w14:textId="6C795620" w:rsidR="00E65D27" w:rsidRDefault="00844125" w:rsidP="003A5F11">
      <w:r>
        <w:rPr>
          <w:noProof/>
        </w:rPr>
        <w:drawing>
          <wp:inline distT="0" distB="0" distL="0" distR="0" wp14:anchorId="05E9FD8B" wp14:editId="688207ED">
            <wp:extent cx="5760720" cy="206438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2064385"/>
                    </a:xfrm>
                    <a:prstGeom prst="rect">
                      <a:avLst/>
                    </a:prstGeom>
                  </pic:spPr>
                </pic:pic>
              </a:graphicData>
            </a:graphic>
          </wp:inline>
        </w:drawing>
      </w:r>
    </w:p>
    <w:p w14:paraId="408A84F8" w14:textId="1D1BF084" w:rsidR="007965E2" w:rsidRDefault="007965E2">
      <w:pPr>
        <w:spacing w:after="160" w:line="259" w:lineRule="auto"/>
        <w:jc w:val="left"/>
      </w:pPr>
      <w:r>
        <w:br w:type="page"/>
      </w:r>
    </w:p>
    <w:p w14:paraId="4C7B4C48" w14:textId="111977FA" w:rsidR="00481D85" w:rsidRDefault="00481D85" w:rsidP="00006071">
      <w:pPr>
        <w:pStyle w:val="Heading2"/>
      </w:pPr>
      <w:r w:rsidRPr="00481D85">
        <w:t>EF18 : L'écran "Formation &gt; Sessions &gt; Edition" affichera dorénavant un document permettant d'imprimer le suivi des hébergements du CFIS avec le paramètre "Feuilles de présence - Modèle" sur la valeur "17" [Mantis #5624]</w:t>
      </w:r>
    </w:p>
    <w:p w14:paraId="2B3F7B42" w14:textId="292C4733" w:rsidR="009D7688" w:rsidRDefault="00424DA2" w:rsidP="009D7688">
      <w:r>
        <w:rPr>
          <w:noProof/>
        </w:rPr>
        <w:drawing>
          <wp:inline distT="0" distB="0" distL="0" distR="0" wp14:anchorId="22B444B9" wp14:editId="452C18CB">
            <wp:extent cx="5760720" cy="4079240"/>
            <wp:effectExtent l="0" t="0" r="0" b="0"/>
            <wp:docPr id="1909224607" name="Image 19092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4079240"/>
                    </a:xfrm>
                    <a:prstGeom prst="rect">
                      <a:avLst/>
                    </a:prstGeom>
                  </pic:spPr>
                </pic:pic>
              </a:graphicData>
            </a:graphic>
          </wp:inline>
        </w:drawing>
      </w:r>
    </w:p>
    <w:p w14:paraId="095F2505" w14:textId="4EFFF588" w:rsidR="00006071" w:rsidRDefault="00006071" w:rsidP="00006071">
      <w:pPr>
        <w:pStyle w:val="Heading2"/>
      </w:pPr>
      <w:r w:rsidRPr="00006071">
        <w:t>CF01</w:t>
      </w:r>
      <w:r w:rsidR="00BB4F09">
        <w:t>A</w:t>
      </w:r>
      <w:r w:rsidRPr="00006071">
        <w:t xml:space="preserve"> : Le calcul du palmarès PSSP ne sera plus interrompu lorsqu'une des équipes n'est pas représentée sur une des épreuves [Pas de Mantis]</w:t>
      </w:r>
    </w:p>
    <w:p w14:paraId="5C08A277" w14:textId="24B16339" w:rsidR="00BD70F5" w:rsidRDefault="00BD70F5" w:rsidP="00BD70F5">
      <w:r>
        <w:rPr>
          <w:noProof/>
        </w:rPr>
        <mc:AlternateContent>
          <mc:Choice Requires="wps">
            <w:drawing>
              <wp:anchor distT="0" distB="0" distL="114300" distR="114300" simplePos="0" relativeHeight="251660288" behindDoc="0" locked="0" layoutInCell="1" allowOverlap="1" wp14:anchorId="443849B7" wp14:editId="52271428">
                <wp:simplePos x="0" y="0"/>
                <wp:positionH relativeFrom="column">
                  <wp:posOffset>2064385</wp:posOffset>
                </wp:positionH>
                <wp:positionV relativeFrom="paragraph">
                  <wp:posOffset>1040130</wp:posOffset>
                </wp:positionV>
                <wp:extent cx="838200" cy="213360"/>
                <wp:effectExtent l="0" t="0" r="19050" b="15240"/>
                <wp:wrapNone/>
                <wp:docPr id="1909224611" name="Rectangle 1909224611"/>
                <wp:cNvGraphicFramePr/>
                <a:graphic xmlns:a="http://schemas.openxmlformats.org/drawingml/2006/main">
                  <a:graphicData uri="http://schemas.microsoft.com/office/word/2010/wordprocessingShape">
                    <wps:wsp>
                      <wps:cNvSpPr/>
                      <wps:spPr>
                        <a:xfrm>
                          <a:off x="0" y="0"/>
                          <a:ext cx="83820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20040" id="Rectangle 1909224611" o:spid="_x0000_s1026" style="position:absolute;margin-left:162.55pt;margin-top:81.9pt;width:66pt;height:16.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" filled="f" strokecolor="red" strokeweight="1pt"/>
            </w:pict>
          </mc:Fallback>
        </mc:AlternateContent>
      </w:r>
      <w:r w:rsidRPr="00BD70F5">
        <w:drawing>
          <wp:inline distT="0" distB="0" distL="0" distR="0" wp14:anchorId="12516FD3" wp14:editId="00783046">
            <wp:extent cx="5760720" cy="1379855"/>
            <wp:effectExtent l="0" t="0" r="0" b="0"/>
            <wp:docPr id="1909224610" name="Image 19092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1379855"/>
                    </a:xfrm>
                    <a:prstGeom prst="rect">
                      <a:avLst/>
                    </a:prstGeom>
                  </pic:spPr>
                </pic:pic>
              </a:graphicData>
            </a:graphic>
          </wp:inline>
        </w:drawing>
      </w:r>
    </w:p>
    <w:p w14:paraId="4AB5568B" w14:textId="77777777" w:rsidR="00BD70F5" w:rsidRPr="00BD70F5" w:rsidRDefault="00BD70F5" w:rsidP="00BD70F5"/>
    <w:p w14:paraId="0AD697D7" w14:textId="60ABABAB" w:rsidR="00475DF8" w:rsidRDefault="009A630F" w:rsidP="00475DF8">
      <w:r w:rsidRPr="009A630F">
        <w:drawing>
          <wp:inline distT="0" distB="0" distL="0" distR="0" wp14:anchorId="34E5AFD0" wp14:editId="3FB1C114">
            <wp:extent cx="5760720" cy="1405890"/>
            <wp:effectExtent l="0" t="0" r="0" b="3810"/>
            <wp:docPr id="1909224609" name="Image 190922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405890"/>
                    </a:xfrm>
                    <a:prstGeom prst="rect">
                      <a:avLst/>
                    </a:prstGeom>
                  </pic:spPr>
                </pic:pic>
              </a:graphicData>
            </a:graphic>
          </wp:inline>
        </w:drawing>
      </w:r>
    </w:p>
    <w:p w14:paraId="060DC762" w14:textId="05F4D77B" w:rsidR="009A630F" w:rsidRDefault="00C41704" w:rsidP="00475DF8">
      <w:r>
        <w:t>Auparavant, lorsqu’une équipe n’était pas représentée, le calcul du palmarès était interrompu avec un message d’erreur.</w:t>
      </w:r>
    </w:p>
    <w:p w14:paraId="4A6C7637" w14:textId="2B6D96FE" w:rsidR="00CF4A77" w:rsidRDefault="00CF4A77" w:rsidP="00CF4A77">
      <w:pPr>
        <w:pStyle w:val="Heading2"/>
      </w:pPr>
      <w:r w:rsidRPr="00CF4A77">
        <w:t>CF01B : Sauvegarder les catégories des participants sur les épreuves ne devrait plus supprimer les catégories assignées aux participants des autres épreuves de la même discipline sur les événements sportifs [Pas de Mantis]</w:t>
      </w:r>
    </w:p>
    <w:p w14:paraId="2A35044E" w14:textId="11AA9028" w:rsidR="00D45A4E" w:rsidRDefault="00E12773" w:rsidP="00D45A4E">
      <w:r>
        <w:rPr>
          <w:noProof/>
        </w:rPr>
        <mc:AlternateContent>
          <mc:Choice Requires="wps">
            <w:drawing>
              <wp:anchor distT="0" distB="0" distL="114300" distR="114300" simplePos="0" relativeHeight="251662336" behindDoc="0" locked="0" layoutInCell="1" allowOverlap="1" wp14:anchorId="576914BD" wp14:editId="4126FD83">
                <wp:simplePos x="0" y="0"/>
                <wp:positionH relativeFrom="column">
                  <wp:posOffset>2910205</wp:posOffset>
                </wp:positionH>
                <wp:positionV relativeFrom="paragraph">
                  <wp:posOffset>1059180</wp:posOffset>
                </wp:positionV>
                <wp:extent cx="601980" cy="365760"/>
                <wp:effectExtent l="0" t="0" r="26670" b="15240"/>
                <wp:wrapNone/>
                <wp:docPr id="1909224613" name="Rectangle 1909224613"/>
                <wp:cNvGraphicFramePr/>
                <a:graphic xmlns:a="http://schemas.openxmlformats.org/drawingml/2006/main">
                  <a:graphicData uri="http://schemas.microsoft.com/office/word/2010/wordprocessingShape">
                    <wps:wsp>
                      <wps:cNvSpPr/>
                      <wps:spPr>
                        <a:xfrm>
                          <a:off x="0" y="0"/>
                          <a:ext cx="601980"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9AD28" id="Rectangle 1909224613" o:spid="_x0000_s1026" style="position:absolute;margin-left:229.15pt;margin-top:83.4pt;width:47.4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" filled="f" strokecolor="red" strokeweight="1pt"/>
            </w:pict>
          </mc:Fallback>
        </mc:AlternateContent>
      </w:r>
      <w:r w:rsidR="00D45A4E" w:rsidRPr="00D45A4E">
        <w:drawing>
          <wp:inline distT="0" distB="0" distL="0" distR="0" wp14:anchorId="1A5D8BE2" wp14:editId="52879080">
            <wp:extent cx="5760720" cy="1854200"/>
            <wp:effectExtent l="0" t="0" r="0" b="0"/>
            <wp:docPr id="1909224612" name="Image 19092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1854200"/>
                    </a:xfrm>
                    <a:prstGeom prst="rect">
                      <a:avLst/>
                    </a:prstGeom>
                  </pic:spPr>
                </pic:pic>
              </a:graphicData>
            </a:graphic>
          </wp:inline>
        </w:drawing>
      </w:r>
    </w:p>
    <w:p w14:paraId="7C357A42" w14:textId="7E4F0A26" w:rsidR="00E12773" w:rsidRPr="00D45A4E" w:rsidRDefault="00E12773" w:rsidP="00D45A4E">
      <w:r>
        <w:t xml:space="preserve">Saisir les résultats sur une épreuve pouvait supprimer les </w:t>
      </w:r>
    </w:p>
    <w:p w14:paraId="67B62F94" w14:textId="11C75668" w:rsidR="00314E8F" w:rsidRDefault="00006071" w:rsidP="00006071">
      <w:pPr>
        <w:pStyle w:val="Heading2"/>
      </w:pPr>
      <w:r w:rsidRPr="00006071">
        <w:t>CF02 : Correction du calcul de la liste des sessions avec les types de contenus (UV, FMPA, Epreuves) dans les périmètres "Stages/Sessions" et abandon de l'ancienne table correspondante dans le modèle de données [Pas de Mantis]</w:t>
      </w:r>
    </w:p>
    <w:p w14:paraId="56342B9B" w14:textId="6C38C021" w:rsidR="00CC268B" w:rsidRPr="00CC268B" w:rsidRDefault="00CC268B" w:rsidP="00CC268B">
      <w:r w:rsidRPr="00E0631C">
        <w:t>Point technique – aucune illustration possible.</w:t>
      </w:r>
    </w:p>
    <w:p w14:paraId="7B0B29D8" w14:textId="24854F95" w:rsidR="00C37FC0" w:rsidRDefault="00C37FC0" w:rsidP="00C37FC0">
      <w:pPr>
        <w:pStyle w:val="Heading2"/>
      </w:pPr>
      <w:r w:rsidRPr="00C37FC0">
        <w:t>CF03 : La liste de forfait de l'écran "Formation &gt; Sessions &gt; Détails des Sessions &gt; Logistique" n'affichera plus les types de forfaits inactifs [Mantis #5569]</w:t>
      </w:r>
    </w:p>
    <w:p w14:paraId="711CCFBF" w14:textId="338B929D" w:rsidR="00E253AA" w:rsidRDefault="00E253AA" w:rsidP="00E253AA">
      <w:r>
        <w:t xml:space="preserve">Les forfait inactifs </w:t>
      </w:r>
      <w:r w:rsidR="00AB49ED">
        <w:t>apparaissaient toujours dans l</w:t>
      </w:r>
      <w:r w:rsidR="005B023F">
        <w:t>a liste déroulante du</w:t>
      </w:r>
      <w:r w:rsidR="00AB49ED">
        <w:t xml:space="preserve"> carré</w:t>
      </w:r>
      <w:r w:rsidR="005B023F">
        <w:t xml:space="preserve"> « Choix du forfait « . C’est à présent corrigé.</w:t>
      </w:r>
    </w:p>
    <w:p w14:paraId="4B5BCF35" w14:textId="69FB3A16" w:rsidR="005B023F" w:rsidRDefault="003A1EAB" w:rsidP="00E253AA">
      <w:r>
        <w:rPr>
          <w:noProof/>
        </w:rPr>
        <w:drawing>
          <wp:inline distT="0" distB="0" distL="0" distR="0" wp14:anchorId="65F05294" wp14:editId="2F3E8330">
            <wp:extent cx="5760720" cy="177609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776095"/>
                    </a:xfrm>
                    <a:prstGeom prst="rect">
                      <a:avLst/>
                    </a:prstGeom>
                  </pic:spPr>
                </pic:pic>
              </a:graphicData>
            </a:graphic>
          </wp:inline>
        </w:drawing>
      </w:r>
    </w:p>
    <w:p w14:paraId="5111FB2D" w14:textId="77777777" w:rsidR="00F62D97" w:rsidRDefault="00F62D97" w:rsidP="00E253AA"/>
    <w:p w14:paraId="0A97207A" w14:textId="3E34A110" w:rsidR="00F62D97" w:rsidRDefault="00F62D97" w:rsidP="00F62D97">
      <w:pPr>
        <w:pStyle w:val="Heading2"/>
      </w:pPr>
      <w:r w:rsidRPr="00F62D97">
        <w:t>CF04 : Correction de la prise en compte des profils médicaux de type "restriction" dans les prérequis médicaux des sessions [Mantis #5625]</w:t>
      </w:r>
    </w:p>
    <w:p w14:paraId="19BA5560" w14:textId="476C4F54" w:rsidR="00795EAB" w:rsidRDefault="001A0B31" w:rsidP="00795EAB">
      <w:r>
        <w:t>Ecrans impactés :</w:t>
      </w:r>
    </w:p>
    <w:p w14:paraId="3305065F" w14:textId="2A842043" w:rsidR="001A0B31" w:rsidRDefault="00E94E39" w:rsidP="00795EAB">
      <w:r>
        <w:t>Formation &gt; Stages &gt; Détails &gt; Prérequis &gt; Liste des agents ayant les prérequis actuellement</w:t>
      </w:r>
    </w:p>
    <w:p w14:paraId="5012785E" w14:textId="5375F38B" w:rsidR="00E94E39" w:rsidRDefault="00E94E39" w:rsidP="00795EAB">
      <w:r>
        <w:t>Formation &gt; Sessions &gt; Détails &gt; Candidatures &gt; Liste des stagiaires et sélection + infobulle des prérequis manquants (inscription en ignorant les prérequis)</w:t>
      </w:r>
    </w:p>
    <w:p w14:paraId="731A66ED" w14:textId="77777777" w:rsidR="004A5415" w:rsidRDefault="004A5415" w:rsidP="00795EAB">
      <w:r>
        <w:t>Libre-service &gt; Candidatures &gt; Stagiaires (liste et inscription)</w:t>
      </w:r>
    </w:p>
    <w:p w14:paraId="1F471C3E" w14:textId="56EB948C" w:rsidR="004A5415" w:rsidRDefault="004A5415" w:rsidP="00795EAB">
      <w:r>
        <w:t>Libre-service &gt; Candidatures &gt; Formateur (liste et inscription).</w:t>
      </w:r>
    </w:p>
    <w:p w14:paraId="14838CED" w14:textId="6D29A29C" w:rsidR="004A5415" w:rsidRDefault="004A5415" w:rsidP="00795EAB">
      <w:r>
        <w:t xml:space="preserve">Correction du </w:t>
      </w:r>
      <w:proofErr w:type="spellStart"/>
      <w:r>
        <w:t>pré-requis</w:t>
      </w:r>
      <w:proofErr w:type="spellEnd"/>
      <w:r>
        <w:t xml:space="preserve"> </w:t>
      </w:r>
      <w:r w:rsidR="00A52E2D">
        <w:t>concernant les profils médicaux : les profils</w:t>
      </w:r>
      <w:r w:rsidR="00ED2FCC">
        <w:t xml:space="preserve"> de type</w:t>
      </w:r>
      <w:r w:rsidR="00A52E2D">
        <w:t xml:space="preserve"> inap</w:t>
      </w:r>
      <w:r w:rsidR="00ED2FCC">
        <w:t>t</w:t>
      </w:r>
      <w:r w:rsidR="00A52E2D">
        <w:t xml:space="preserve">es n’étaient plus exclus </w:t>
      </w:r>
      <w:r w:rsidR="00ED2FCC">
        <w:t>mais inclus/ c’est à présent corrigé.</w:t>
      </w:r>
    </w:p>
    <w:p w14:paraId="0BD6D90D" w14:textId="3B37FD21" w:rsidR="00ED2FCC" w:rsidRDefault="006A5FEC" w:rsidP="00795EAB">
      <w:r>
        <w:rPr>
          <w:noProof/>
        </w:rPr>
        <w:drawing>
          <wp:inline distT="0" distB="0" distL="0" distR="0" wp14:anchorId="6DF6B1C1" wp14:editId="0E490223">
            <wp:extent cx="5760720" cy="175704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1757045"/>
                    </a:xfrm>
                    <a:prstGeom prst="rect">
                      <a:avLst/>
                    </a:prstGeom>
                  </pic:spPr>
                </pic:pic>
              </a:graphicData>
            </a:graphic>
          </wp:inline>
        </w:drawing>
      </w:r>
    </w:p>
    <w:p w14:paraId="393D03D9" w14:textId="77777777" w:rsidR="006A5FEC" w:rsidRDefault="006A5FEC" w:rsidP="00795EAB"/>
    <w:p w14:paraId="6F81BD7C" w14:textId="70DBEB88" w:rsidR="004A5415" w:rsidRDefault="00887A37" w:rsidP="00795EAB">
      <w:r>
        <w:rPr>
          <w:noProof/>
        </w:rPr>
        <w:drawing>
          <wp:inline distT="0" distB="0" distL="0" distR="0" wp14:anchorId="3FE7A9AE" wp14:editId="40982B1F">
            <wp:extent cx="5760720" cy="2055495"/>
            <wp:effectExtent l="0" t="0" r="0"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055495"/>
                    </a:xfrm>
                    <a:prstGeom prst="rect">
                      <a:avLst/>
                    </a:prstGeom>
                  </pic:spPr>
                </pic:pic>
              </a:graphicData>
            </a:graphic>
          </wp:inline>
        </w:drawing>
      </w:r>
    </w:p>
    <w:p w14:paraId="26D0B93C" w14:textId="77777777" w:rsidR="00F6696D" w:rsidRDefault="00F6696D" w:rsidP="00795EAB"/>
    <w:p w14:paraId="46E8183E" w14:textId="1E24B031" w:rsidR="00F6696D" w:rsidRDefault="00F6696D" w:rsidP="00F6696D">
      <w:pPr>
        <w:pStyle w:val="Heading2"/>
      </w:pPr>
      <w:r w:rsidRPr="00F6696D">
        <w:t>CF05 : Correction du filtre "lieu de formation" de l'écran "Formation &gt; Sessions &gt; Détails" avec une base Oracle [Mantis #5668]</w:t>
      </w:r>
    </w:p>
    <w:p w14:paraId="216520A9" w14:textId="3DC065CD" w:rsidR="00616074" w:rsidRPr="00616074" w:rsidRDefault="00616074" w:rsidP="00616074">
      <w:r>
        <w:t xml:space="preserve">Avant la correction : </w:t>
      </w:r>
    </w:p>
    <w:p w14:paraId="39F6F726" w14:textId="1911F5BF" w:rsidR="00616074" w:rsidRDefault="00616074" w:rsidP="00616074">
      <w:r>
        <w:rPr>
          <w:noProof/>
        </w:rPr>
        <w:drawing>
          <wp:inline distT="0" distB="0" distL="0" distR="0" wp14:anchorId="610D524A" wp14:editId="0F610596">
            <wp:extent cx="5760720" cy="633095"/>
            <wp:effectExtent l="0" t="0" r="0" b="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633095"/>
                    </a:xfrm>
                    <a:prstGeom prst="rect">
                      <a:avLst/>
                    </a:prstGeom>
                  </pic:spPr>
                </pic:pic>
              </a:graphicData>
            </a:graphic>
          </wp:inline>
        </w:drawing>
      </w:r>
    </w:p>
    <w:p w14:paraId="4FE36C25" w14:textId="77777777" w:rsidR="00616074" w:rsidRDefault="00616074" w:rsidP="00616074"/>
    <w:p w14:paraId="2265AD30" w14:textId="0DA7F972" w:rsidR="00616074" w:rsidRDefault="00616074" w:rsidP="00616074">
      <w:r>
        <w:t>Après la correction :</w:t>
      </w:r>
    </w:p>
    <w:p w14:paraId="6499A94A" w14:textId="77777777" w:rsidR="008D513B" w:rsidRDefault="008D513B" w:rsidP="00616074"/>
    <w:p w14:paraId="06ABD9F6" w14:textId="17B9C9D6" w:rsidR="008D513B" w:rsidRDefault="006736BF" w:rsidP="00616074">
      <w:r>
        <w:rPr>
          <w:noProof/>
        </w:rPr>
        <w:drawing>
          <wp:inline distT="0" distB="0" distL="0" distR="0" wp14:anchorId="4D80D53B" wp14:editId="3DB69E6C">
            <wp:extent cx="5760720" cy="1539875"/>
            <wp:effectExtent l="0" t="0" r="0" b="3175"/>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539875"/>
                    </a:xfrm>
                    <a:prstGeom prst="rect">
                      <a:avLst/>
                    </a:prstGeom>
                  </pic:spPr>
                </pic:pic>
              </a:graphicData>
            </a:graphic>
          </wp:inline>
        </w:drawing>
      </w:r>
    </w:p>
    <w:p w14:paraId="1AF46390" w14:textId="77777777" w:rsidR="00AB3302" w:rsidRDefault="00AB3302" w:rsidP="00616074"/>
    <w:p w14:paraId="00BA21B7" w14:textId="51B3CA42" w:rsidR="00AB3302" w:rsidRDefault="00AB3302" w:rsidP="00AB3302">
      <w:pPr>
        <w:pStyle w:val="Heading2"/>
      </w:pPr>
      <w:r w:rsidRPr="00AB3302">
        <w:t>CF06 : Correction de la liste des indemnités dans l'écran "Formation &gt; Gestion des FMPA &gt; Détails des FMPA &gt; Indemnités" avec une base Oracle [Mantis #5684]</w:t>
      </w:r>
    </w:p>
    <w:p w14:paraId="6323289A" w14:textId="63B16593" w:rsidR="00616074" w:rsidRDefault="00507F6B" w:rsidP="00616074">
      <w:r>
        <w:t>La liste des indemn</w:t>
      </w:r>
      <w:r w:rsidR="004D0F4C">
        <w:t>ités affichait « Aucun participant à la FMPA » alors que des participants ava</w:t>
      </w:r>
      <w:r w:rsidR="006C3B64">
        <w:t>ient été enregistrés. C’est à présent corrigé.</w:t>
      </w:r>
    </w:p>
    <w:p w14:paraId="6E30214D" w14:textId="726F2926" w:rsidR="00314E8F" w:rsidRPr="0072256D" w:rsidRDefault="0005699D" w:rsidP="00EB0562">
      <w:r>
        <w:rPr>
          <w:noProof/>
        </w:rPr>
        <w:drawing>
          <wp:inline distT="0" distB="0" distL="0" distR="0" wp14:anchorId="1FA85535" wp14:editId="6DD28D4C">
            <wp:extent cx="5760720" cy="1974850"/>
            <wp:effectExtent l="0" t="0" r="0" b="6350"/>
            <wp:docPr id="1909224602" name="Image 190922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1974850"/>
                    </a:xfrm>
                    <a:prstGeom prst="rect">
                      <a:avLst/>
                    </a:prstGeom>
                  </pic:spPr>
                </pic:pic>
              </a:graphicData>
            </a:graphic>
          </wp:inline>
        </w:drawing>
      </w:r>
    </w:p>
    <w:p w14:paraId="477A7318" w14:textId="4E560848" w:rsidR="00314E8F" w:rsidRPr="00A83DD8" w:rsidRDefault="00314E8F" w:rsidP="00314E8F">
      <w:pPr>
        <w:pStyle w:val="Heading1"/>
      </w:pPr>
      <w:r w:rsidRPr="00A83DD8">
        <w:t>Administration</w:t>
      </w:r>
    </w:p>
    <w:p w14:paraId="09B330A9" w14:textId="2EAAB33A" w:rsidR="00012986" w:rsidRDefault="00F6696D" w:rsidP="00012986">
      <w:pPr>
        <w:pStyle w:val="Heading2"/>
      </w:pPr>
      <w:r w:rsidRPr="00F6696D">
        <w:t>EA01A : Les documents génériques attachables à de nombreux écrans harmonisés et à certains écrans spécifiques admettront dorénavant des "types" paramétrables dans l'écran "GRH / Administration &gt; Suivi Administration &gt; Types de fichiers" et permettant notamment de porter les paramètres pour l'envoi au parapheur électronique [Mantis #5672]</w:t>
      </w:r>
    </w:p>
    <w:p w14:paraId="59BDFF8F" w14:textId="30AEA3F1" w:rsidR="00012986" w:rsidRDefault="00012986" w:rsidP="00012986">
      <w:r>
        <w:t>Afin d’avoir accès à l’écran « Type de fichier », il faut tout d’abord donner l’accès aux rôles concernés via « Outils &gt; Droits &gt; Rôles &gt; Accès Menu &gt; Suivi Administratif &gt; Type de fichier ».</w:t>
      </w:r>
    </w:p>
    <w:p w14:paraId="578C48D6" w14:textId="488E511D" w:rsidR="003F67D1" w:rsidRDefault="003F67D1" w:rsidP="00012986">
      <w:r>
        <w:rPr>
          <w:noProof/>
        </w:rPr>
        <w:drawing>
          <wp:inline distT="0" distB="0" distL="0" distR="0" wp14:anchorId="16CAAF30" wp14:editId="036C7679">
            <wp:extent cx="2950234" cy="847477"/>
            <wp:effectExtent l="0" t="0" r="254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2975510" cy="854738"/>
                    </a:xfrm>
                    <a:prstGeom prst="rect">
                      <a:avLst/>
                    </a:prstGeom>
                  </pic:spPr>
                </pic:pic>
              </a:graphicData>
            </a:graphic>
          </wp:inline>
        </w:drawing>
      </w:r>
    </w:p>
    <w:p w14:paraId="3F14766A" w14:textId="77777777" w:rsidR="00B00BB4" w:rsidRDefault="00B00BB4" w:rsidP="00012986"/>
    <w:p w14:paraId="5D843E82" w14:textId="1B669EFC" w:rsidR="003F67D1" w:rsidRDefault="00B00BB4" w:rsidP="00012986">
      <w:r w:rsidRPr="00B00BB4">
        <w:rPr>
          <w:noProof/>
        </w:rPr>
        <w:drawing>
          <wp:inline distT="0" distB="0" distL="0" distR="0" wp14:anchorId="4AEDF047" wp14:editId="6E4D31BD">
            <wp:extent cx="5760720" cy="109283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092835"/>
                    </a:xfrm>
                    <a:prstGeom prst="rect">
                      <a:avLst/>
                    </a:prstGeom>
                  </pic:spPr>
                </pic:pic>
              </a:graphicData>
            </a:graphic>
          </wp:inline>
        </w:drawing>
      </w:r>
    </w:p>
    <w:p w14:paraId="153C15E3" w14:textId="77777777" w:rsidR="00B00BB4" w:rsidRDefault="00B00BB4" w:rsidP="00012986"/>
    <w:p w14:paraId="1BBC237F" w14:textId="7D11C5A8" w:rsidR="00B00BB4" w:rsidRDefault="00CF60FC" w:rsidP="00012986">
      <w:r>
        <w:rPr>
          <w:noProof/>
        </w:rPr>
        <w:drawing>
          <wp:inline distT="0" distB="0" distL="0" distR="0" wp14:anchorId="2DD8A9C8" wp14:editId="3BFE9828">
            <wp:extent cx="5760720" cy="2776855"/>
            <wp:effectExtent l="0" t="0" r="0" b="444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2776855"/>
                    </a:xfrm>
                    <a:prstGeom prst="rect">
                      <a:avLst/>
                    </a:prstGeom>
                  </pic:spPr>
                </pic:pic>
              </a:graphicData>
            </a:graphic>
          </wp:inline>
        </w:drawing>
      </w:r>
    </w:p>
    <w:p w14:paraId="558C665D" w14:textId="424E1EA3" w:rsidR="00003657" w:rsidRDefault="00003657">
      <w:pPr>
        <w:spacing w:after="160" w:line="259" w:lineRule="auto"/>
        <w:jc w:val="left"/>
        <w:rPr>
          <w:rFonts w:asciiTheme="majorHAnsi" w:eastAsiaTheme="majorEastAsia" w:hAnsiTheme="majorHAnsi" w:cstheme="majorBidi"/>
          <w:color w:val="2F5496" w:themeColor="accent1" w:themeShade="BF"/>
          <w:sz w:val="24"/>
          <w:szCs w:val="24"/>
        </w:rPr>
      </w:pPr>
    </w:p>
    <w:p w14:paraId="361C3403" w14:textId="77777777" w:rsidR="006A6938" w:rsidRDefault="006A693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5A67B06" w14:textId="4FD193B4" w:rsidR="00314E8F" w:rsidRDefault="00F6696D" w:rsidP="00012986">
      <w:pPr>
        <w:pStyle w:val="Heading2"/>
      </w:pPr>
      <w:r w:rsidRPr="00F6696D">
        <w:t>EA01B : Ajout d'un paramètre applicatif ("Outils &gt; Paramètres &gt; Paramètres") "</w:t>
      </w:r>
      <w:proofErr w:type="spellStart"/>
      <w:r w:rsidRPr="00F6696D">
        <w:t>eParapheur</w:t>
      </w:r>
      <w:proofErr w:type="spellEnd"/>
      <w:r w:rsidRPr="00F6696D">
        <w:t xml:space="preserve"> - Type Fichier Diplôme" qui annule et remplace les paramètres "</w:t>
      </w:r>
      <w:proofErr w:type="spellStart"/>
      <w:r w:rsidRPr="00F6696D">
        <w:t>eParapheur</w:t>
      </w:r>
      <w:proofErr w:type="spellEnd"/>
      <w:r w:rsidRPr="00F6696D">
        <w:t xml:space="preserve"> - Flux", "</w:t>
      </w:r>
      <w:proofErr w:type="spellStart"/>
      <w:r w:rsidRPr="00F6696D">
        <w:t>eParapheur</w:t>
      </w:r>
      <w:proofErr w:type="spellEnd"/>
      <w:r w:rsidRPr="00F6696D">
        <w:t xml:space="preserve"> - Sous-Type Diplôme" et "</w:t>
      </w:r>
      <w:proofErr w:type="spellStart"/>
      <w:r w:rsidRPr="00F6696D">
        <w:t>eParapheur</w:t>
      </w:r>
      <w:proofErr w:type="spellEnd"/>
      <w:r w:rsidRPr="00F6696D">
        <w:t xml:space="preserve"> - Type Technique Diplôme" (portés dorénavant par les types de fichiers [Mantis #5672]</w:t>
      </w:r>
    </w:p>
    <w:p w14:paraId="313DFEC0" w14:textId="4E8F5BE8" w:rsidR="00EA6C1F" w:rsidRPr="00EA6C1F" w:rsidRDefault="007D24BC" w:rsidP="00EA6C1F">
      <w:r>
        <w:rPr>
          <w:noProof/>
        </w:rPr>
        <w:drawing>
          <wp:inline distT="0" distB="0" distL="0" distR="0" wp14:anchorId="6CC5AD58" wp14:editId="08108850">
            <wp:extent cx="5760720" cy="4563110"/>
            <wp:effectExtent l="0" t="0" r="0" b="889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4563110"/>
                    </a:xfrm>
                    <a:prstGeom prst="rect">
                      <a:avLst/>
                    </a:prstGeom>
                  </pic:spPr>
                </pic:pic>
              </a:graphicData>
            </a:graphic>
          </wp:inline>
        </w:drawing>
      </w:r>
    </w:p>
    <w:p w14:paraId="0ECA9EC0" w14:textId="1A091CA7" w:rsidR="00314E8F" w:rsidRPr="00A83DD8" w:rsidRDefault="00314E8F" w:rsidP="00314E8F">
      <w:pPr>
        <w:pStyle w:val="Heading1"/>
      </w:pPr>
      <w:r w:rsidRPr="00A83DD8">
        <w:t>Outils</w:t>
      </w:r>
    </w:p>
    <w:p w14:paraId="0E38F21C" w14:textId="5705B931" w:rsidR="00314E8F" w:rsidRDefault="00314E8F" w:rsidP="00314E8F">
      <w:pPr>
        <w:pStyle w:val="Heading2"/>
      </w:pPr>
      <w:r w:rsidRPr="00517D3C">
        <w:t xml:space="preserve">EO01 : </w:t>
      </w:r>
      <w:r w:rsidR="00517D3C" w:rsidRPr="00517D3C">
        <w:t>Ajout d'indexes complémentaires sur les tables de prérequis afin d'améliorer les performances globales [Pas de Mantis]</w:t>
      </w:r>
    </w:p>
    <w:p w14:paraId="4BD91AB6" w14:textId="218B1FCA" w:rsidR="00CC268B" w:rsidRPr="00CC268B" w:rsidRDefault="00CC268B" w:rsidP="00CC268B">
      <w:r w:rsidRPr="00E0631C">
        <w:t>Point technique – aucune illustration possible.</w:t>
      </w:r>
    </w:p>
    <w:p w14:paraId="6594B640" w14:textId="77777777" w:rsidR="00344F1A" w:rsidRDefault="00344F1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5C51724" w14:textId="568C75EC" w:rsidR="004F605F" w:rsidRDefault="004F605F" w:rsidP="004F605F">
      <w:pPr>
        <w:pStyle w:val="Heading2"/>
      </w:pPr>
      <w:r>
        <w:t>EO02A : Les interfaces automatiques sortantes permettront dorénavant de faire des "ALTER" [Mantis #5617]</w:t>
      </w:r>
    </w:p>
    <w:p w14:paraId="67952E7C" w14:textId="77777777" w:rsidR="000C4E9F" w:rsidRDefault="000C4E9F" w:rsidP="00EB5075">
      <w:r>
        <w:rPr>
          <w:noProof/>
        </w:rPr>
        <w:drawing>
          <wp:inline distT="0" distB="0" distL="0" distR="0" wp14:anchorId="2A336B71" wp14:editId="1CC2F9BE">
            <wp:extent cx="5760720" cy="2279015"/>
            <wp:effectExtent l="0" t="0" r="0" b="69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2279015"/>
                    </a:xfrm>
                    <a:prstGeom prst="rect">
                      <a:avLst/>
                    </a:prstGeom>
                  </pic:spPr>
                </pic:pic>
              </a:graphicData>
            </a:graphic>
          </wp:inline>
        </w:drawing>
      </w:r>
    </w:p>
    <w:p w14:paraId="15159546" w14:textId="7EF3BC8B" w:rsidR="004F605F" w:rsidRDefault="004F605F" w:rsidP="004F605F">
      <w:pPr>
        <w:pStyle w:val="Heading2"/>
      </w:pPr>
      <w:r>
        <w:t>EO02B : Les interfaces automatiques sortantes remplaceront dorénavant le mot clé "%</w:t>
      </w:r>
      <w:proofErr w:type="spellStart"/>
      <w:r>
        <w:t>annee</w:t>
      </w:r>
      <w:proofErr w:type="spellEnd"/>
      <w:r>
        <w:t>%" par l'année pour les "ALTER" [Mantis #5617]</w:t>
      </w:r>
    </w:p>
    <w:p w14:paraId="53CE9C3C" w14:textId="384C9B17" w:rsidR="005A55AD" w:rsidRDefault="005A55AD" w:rsidP="00EB5075">
      <w:r>
        <w:rPr>
          <w:noProof/>
        </w:rPr>
        <w:drawing>
          <wp:inline distT="0" distB="0" distL="0" distR="0" wp14:anchorId="3EF7CFC5" wp14:editId="3AB0AEA3">
            <wp:extent cx="5760720" cy="2245995"/>
            <wp:effectExtent l="0" t="0" r="0"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2245995"/>
                    </a:xfrm>
                    <a:prstGeom prst="rect">
                      <a:avLst/>
                    </a:prstGeom>
                  </pic:spPr>
                </pic:pic>
              </a:graphicData>
            </a:graphic>
          </wp:inline>
        </w:drawing>
      </w:r>
    </w:p>
    <w:p w14:paraId="6A3C2867" w14:textId="77777777" w:rsidR="005A55AD" w:rsidRDefault="005A55AD" w:rsidP="005A55AD"/>
    <w:p w14:paraId="54C26272" w14:textId="0BA0238D" w:rsidR="005A55AD" w:rsidRPr="005A55AD" w:rsidRDefault="000A0A94" w:rsidP="005A55AD">
      <w:r>
        <w:rPr>
          <w:noProof/>
        </w:rPr>
        <w:drawing>
          <wp:inline distT="0" distB="0" distL="0" distR="0" wp14:anchorId="19807D17" wp14:editId="06F1C8E8">
            <wp:extent cx="5760720" cy="988695"/>
            <wp:effectExtent l="0" t="0" r="0" b="190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988695"/>
                    </a:xfrm>
                    <a:prstGeom prst="rect">
                      <a:avLst/>
                    </a:prstGeom>
                  </pic:spPr>
                </pic:pic>
              </a:graphicData>
            </a:graphic>
          </wp:inline>
        </w:drawing>
      </w:r>
    </w:p>
    <w:p w14:paraId="1E042CAF" w14:textId="77777777" w:rsidR="00344F1A" w:rsidRDefault="00344F1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B27063F" w14:textId="15209516" w:rsidR="006B16FF" w:rsidRDefault="004F605F" w:rsidP="005B3328">
      <w:pPr>
        <w:pStyle w:val="Heading2"/>
      </w:pPr>
      <w:r>
        <w:t>EO03 : Afin de faciliter la recherche des balises, la liste déroulante "Filtre/Champs" de l'écran "Outils / Administration &gt; Modèles &gt; Courriels" sera dorénavant ordonnée par ordre alphabétique [Mantis #5610]</w:t>
      </w:r>
    </w:p>
    <w:p w14:paraId="2DED36B2" w14:textId="477DAD54" w:rsidR="006B16FF" w:rsidRDefault="005B3328" w:rsidP="006B16FF">
      <w:r>
        <w:rPr>
          <w:noProof/>
        </w:rPr>
        <w:drawing>
          <wp:inline distT="0" distB="0" distL="0" distR="0" wp14:anchorId="3B6F47EE" wp14:editId="515128F5">
            <wp:extent cx="5760720" cy="2640965"/>
            <wp:effectExtent l="0" t="0" r="0" b="698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2640965"/>
                    </a:xfrm>
                    <a:prstGeom prst="rect">
                      <a:avLst/>
                    </a:prstGeom>
                  </pic:spPr>
                </pic:pic>
              </a:graphicData>
            </a:graphic>
          </wp:inline>
        </w:drawing>
      </w:r>
    </w:p>
    <w:p w14:paraId="6151259B" w14:textId="77777777" w:rsidR="009C0DD3" w:rsidRDefault="009C0DD3" w:rsidP="006B16FF"/>
    <w:p w14:paraId="7B286FD8" w14:textId="5A103287" w:rsidR="009C0DD3" w:rsidRDefault="009C0DD3" w:rsidP="009C0DD3">
      <w:pPr>
        <w:pStyle w:val="Heading2"/>
      </w:pPr>
      <w:r>
        <w:t xml:space="preserve">EO04A : Créer une </w:t>
      </w:r>
      <w:proofErr w:type="spellStart"/>
      <w:r>
        <w:t>pagelet</w:t>
      </w:r>
      <w:proofErr w:type="spellEnd"/>
      <w:r>
        <w:t>, verrouiller, déverrouiller ou supprimer une requête devrait dorénavant ouvrir le dossier qui la contient [Mantis #5690]</w:t>
      </w:r>
    </w:p>
    <w:p w14:paraId="5AD47E5D" w14:textId="16E193A1" w:rsidR="009C0DD3" w:rsidRDefault="009C0DD3" w:rsidP="009C0DD3">
      <w:r>
        <w:t xml:space="preserve">Avant l’évolution, effectuer une des actions mentionnées ci-dessus fermait </w:t>
      </w:r>
      <w:r w:rsidR="008214DF">
        <w:t xml:space="preserve">l’arborescence des dossiers. </w:t>
      </w:r>
      <w:r w:rsidR="00FA4959">
        <w:t xml:space="preserve">A présent, </w:t>
      </w:r>
      <w:r w:rsidR="003813B5">
        <w:t xml:space="preserve">en cas de modification, l’arborescence restera ouverte. </w:t>
      </w:r>
    </w:p>
    <w:p w14:paraId="1E53D2B6" w14:textId="77777777" w:rsidR="003813B5" w:rsidRDefault="003813B5" w:rsidP="009C0DD3"/>
    <w:p w14:paraId="4C137ADE" w14:textId="27122338" w:rsidR="003813B5" w:rsidRPr="009C0DD3" w:rsidRDefault="009766E8" w:rsidP="009C0DD3">
      <w:r>
        <w:rPr>
          <w:noProof/>
        </w:rPr>
        <w:drawing>
          <wp:inline distT="0" distB="0" distL="0" distR="0" wp14:anchorId="7DDDD051" wp14:editId="010E6084">
            <wp:extent cx="5760720" cy="1850390"/>
            <wp:effectExtent l="0" t="0" r="0" b="0"/>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850390"/>
                    </a:xfrm>
                    <a:prstGeom prst="rect">
                      <a:avLst/>
                    </a:prstGeom>
                  </pic:spPr>
                </pic:pic>
              </a:graphicData>
            </a:graphic>
          </wp:inline>
        </w:drawing>
      </w:r>
    </w:p>
    <w:p w14:paraId="3B680F45" w14:textId="77777777" w:rsidR="00344F1A" w:rsidRDefault="00344F1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3657857" w14:textId="2132F830" w:rsidR="009C0DD3" w:rsidRDefault="009C0DD3" w:rsidP="009C0DD3">
      <w:pPr>
        <w:pStyle w:val="Heading2"/>
      </w:pPr>
      <w:r>
        <w:t>EO04B : Légère revue graphique de l'écran "Outils &gt; Requêteur &gt; Liste des requêtes enregistrées" pour mettre plus en avant le bouton "ouvrir" permettant de développer le dossier qui sera dorénavant doublé en début de ligne et avant le bouton "nouveau dossier" [Mantis #5690]</w:t>
      </w:r>
    </w:p>
    <w:p w14:paraId="5946FD48" w14:textId="68AE7D59" w:rsidR="009766E8" w:rsidRPr="009766E8" w:rsidRDefault="0024442B" w:rsidP="009766E8">
      <w:r>
        <w:rPr>
          <w:noProof/>
        </w:rPr>
        <w:drawing>
          <wp:inline distT="0" distB="0" distL="0" distR="0" wp14:anchorId="090BBFB0" wp14:editId="3DEE9866">
            <wp:extent cx="5760720" cy="1990725"/>
            <wp:effectExtent l="0" t="0" r="0" b="9525"/>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1990725"/>
                    </a:xfrm>
                    <a:prstGeom prst="rect">
                      <a:avLst/>
                    </a:prstGeom>
                  </pic:spPr>
                </pic:pic>
              </a:graphicData>
            </a:graphic>
          </wp:inline>
        </w:drawing>
      </w:r>
    </w:p>
    <w:p w14:paraId="3DE513DE" w14:textId="1FAA7886" w:rsidR="00E37CF6" w:rsidRDefault="00E37CF6" w:rsidP="00E37CF6">
      <w:pPr>
        <w:pStyle w:val="Heading2"/>
      </w:pPr>
      <w:r>
        <w:t>EO05A : Le calcul de l'ordre d'affichage des affectations courantes simplifiée tiendra dorénavant compte du "motif de fin" "Emploi Principal" lorsque le paramètre "Interface entrante - Extracteur - Modèle de données" est sur la valeur "14" [Mantis #5601]</w:t>
      </w:r>
    </w:p>
    <w:p w14:paraId="04E36CE8" w14:textId="0ADBE367" w:rsidR="00E37CF6" w:rsidRPr="00E37CF6" w:rsidRDefault="00E37CF6" w:rsidP="00E37CF6">
      <w:r w:rsidRPr="00E0631C">
        <w:t>Point technique – aucune illustration possible.</w:t>
      </w:r>
    </w:p>
    <w:p w14:paraId="7160F751" w14:textId="15045A38" w:rsidR="00E37CF6" w:rsidRDefault="00E37CF6" w:rsidP="00E37CF6">
      <w:pPr>
        <w:pStyle w:val="Heading2"/>
      </w:pPr>
      <w:r>
        <w:t xml:space="preserve">EO05B : L'extracteur de données </w:t>
      </w:r>
      <w:proofErr w:type="spellStart"/>
      <w:r>
        <w:t>Eksaé</w:t>
      </w:r>
      <w:proofErr w:type="spellEnd"/>
      <w:r>
        <w:t xml:space="preserve"> ignorera dorénavant les SPP en CDD avec le paramètre "Interface entrante - Extracteur - Modèle de données" est sur la valeur "14" [Mantis #5601]</w:t>
      </w:r>
    </w:p>
    <w:p w14:paraId="5D398625" w14:textId="6682EF39" w:rsidR="00E37CF6" w:rsidRPr="00E37CF6" w:rsidRDefault="00E37CF6" w:rsidP="00E37CF6">
      <w:r w:rsidRPr="00E0631C">
        <w:t>Point technique – aucune illustration possible.</w:t>
      </w:r>
    </w:p>
    <w:p w14:paraId="39ACE527" w14:textId="305CC0E6" w:rsidR="00314E8F" w:rsidRDefault="00314E8F" w:rsidP="00314E8F">
      <w:pPr>
        <w:pStyle w:val="Heading2"/>
      </w:pPr>
      <w:r w:rsidRPr="00517D3C">
        <w:t xml:space="preserve">CO01 : </w:t>
      </w:r>
      <w:r w:rsidR="008D7DBF" w:rsidRPr="008D7DBF">
        <w:t>Le requêteur ne proposera plus de jointures automatiques basées sur les noms des champs mais uniquement sur les références d'intégrité implémentées - ceci aura notamment un impact sur le parcours du modèle de données (ex : table "Tests Physiques : Niveaux" qui affichait à tort des liens d'intégrité avec les groupes de rémunérations et les niveaux des compétences) [Mantis #5693]</w:t>
      </w:r>
    </w:p>
    <w:p w14:paraId="5EAF968C" w14:textId="64705351" w:rsidR="00542CAD" w:rsidRPr="00C970AC" w:rsidRDefault="00DE733F" w:rsidP="00344F1A">
      <w:r>
        <w:rPr>
          <w:noProof/>
        </w:rPr>
        <w:drawing>
          <wp:inline distT="0" distB="0" distL="0" distR="0" wp14:anchorId="06967CCE" wp14:editId="3513DED1">
            <wp:extent cx="5760720" cy="3314065"/>
            <wp:effectExtent l="0" t="0" r="0" b="635"/>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3314065"/>
                    </a:xfrm>
                    <a:prstGeom prst="rect">
                      <a:avLst/>
                    </a:prstGeom>
                  </pic:spPr>
                </pic:pic>
              </a:graphicData>
            </a:graphic>
          </wp:inline>
        </w:drawing>
      </w:r>
    </w:p>
    <w:sectPr w:rsidR="00542CAD" w:rsidRPr="00C970AC" w:rsidSect="00824313">
      <w:headerReference w:type="default" r:id="rId110"/>
      <w:footerReference w:type="default" r:id="rId111"/>
      <w:footerReference w:type="first" r:id="rId1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38DF7" w14:textId="77777777" w:rsidR="003A76FC" w:rsidRDefault="003A76FC" w:rsidP="00824313">
      <w:r>
        <w:separator/>
      </w:r>
    </w:p>
  </w:endnote>
  <w:endnote w:type="continuationSeparator" w:id="0">
    <w:p w14:paraId="28B47AB0" w14:textId="77777777" w:rsidR="003A76FC" w:rsidRDefault="003A76FC" w:rsidP="00824313">
      <w:r>
        <w:continuationSeparator/>
      </w:r>
    </w:p>
  </w:endnote>
  <w:endnote w:type="continuationNotice" w:id="1">
    <w:p w14:paraId="01648879" w14:textId="77777777" w:rsidR="003A76FC" w:rsidRDefault="003A7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Yu Mincho">
    <w:altName w:val="Yu Gothic"/>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Default="006C7087" w:rsidP="006C7087">
          <w:pPr>
            <w:pStyle w:val="Footer"/>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0A8EC" w14:textId="77777777" w:rsidR="003A76FC" w:rsidRDefault="003A76FC" w:rsidP="00824313">
      <w:r>
        <w:separator/>
      </w:r>
    </w:p>
  </w:footnote>
  <w:footnote w:type="continuationSeparator" w:id="0">
    <w:p w14:paraId="15C79E26" w14:textId="77777777" w:rsidR="003A76FC" w:rsidRDefault="003A76FC" w:rsidP="00824313">
      <w:r>
        <w:continuationSeparator/>
      </w:r>
    </w:p>
  </w:footnote>
  <w:footnote w:type="continuationNotice" w:id="1">
    <w:p w14:paraId="08954A47" w14:textId="77777777" w:rsidR="003A76FC" w:rsidRDefault="003A76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41ADDAB0" w:rsidR="006C7087" w:rsidRPr="006463A1" w:rsidRDefault="006C7087" w:rsidP="006C7087">
    <w:pPr>
      <w:pStyle w:val="Header"/>
      <w:jc w:val="left"/>
      <w:rPr>
        <w:rStyle w:val="SubtleEmphasis"/>
        <w:sz w:val="28"/>
        <w:szCs w:val="28"/>
      </w:rPr>
    </w:pPr>
    <w:r w:rsidRPr="00842091">
      <w:rPr>
        <w:rStyle w:val="SubtleEmphasis"/>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de la version </w:t>
    </w:r>
    <w:r w:rsidR="0077241E">
      <w:rPr>
        <w:rStyle w:val="SubtleEmphasis"/>
        <w:sz w:val="28"/>
        <w:szCs w:val="28"/>
      </w:rPr>
      <w:t>3.</w:t>
    </w:r>
    <w:r w:rsidR="0093098E">
      <w:rPr>
        <w:rStyle w:val="SubtleEmphasis"/>
        <w:sz w:val="28"/>
        <w:szCs w:val="28"/>
      </w:rPr>
      <w:t>2</w:t>
    </w:r>
    <w:r w:rsidR="00542CAD">
      <w:rPr>
        <w:rStyle w:val="SubtleEmphasis"/>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9389566">
    <w:abstractNumId w:val="13"/>
  </w:num>
  <w:num w:numId="2" w16cid:durableId="1776974858">
    <w:abstractNumId w:val="0"/>
  </w:num>
  <w:num w:numId="3" w16cid:durableId="1836142664">
    <w:abstractNumId w:val="20"/>
  </w:num>
  <w:num w:numId="4" w16cid:durableId="398942985">
    <w:abstractNumId w:val="30"/>
  </w:num>
  <w:num w:numId="5" w16cid:durableId="523985562">
    <w:abstractNumId w:val="11"/>
  </w:num>
  <w:num w:numId="6" w16cid:durableId="94719195">
    <w:abstractNumId w:val="4"/>
  </w:num>
  <w:num w:numId="7" w16cid:durableId="1148980973">
    <w:abstractNumId w:val="25"/>
  </w:num>
  <w:num w:numId="8" w16cid:durableId="1457795139">
    <w:abstractNumId w:val="16"/>
  </w:num>
  <w:num w:numId="9" w16cid:durableId="660351282">
    <w:abstractNumId w:val="29"/>
  </w:num>
  <w:num w:numId="10" w16cid:durableId="373651661">
    <w:abstractNumId w:val="23"/>
  </w:num>
  <w:num w:numId="11" w16cid:durableId="327640418">
    <w:abstractNumId w:val="2"/>
  </w:num>
  <w:num w:numId="12" w16cid:durableId="655838031">
    <w:abstractNumId w:val="19"/>
  </w:num>
  <w:num w:numId="13" w16cid:durableId="1506091705">
    <w:abstractNumId w:val="9"/>
  </w:num>
  <w:num w:numId="14" w16cid:durableId="1439983611">
    <w:abstractNumId w:val="18"/>
  </w:num>
  <w:num w:numId="15" w16cid:durableId="1494948725">
    <w:abstractNumId w:val="10"/>
  </w:num>
  <w:num w:numId="16" w16cid:durableId="170071962">
    <w:abstractNumId w:val="26"/>
  </w:num>
  <w:num w:numId="17" w16cid:durableId="747967978">
    <w:abstractNumId w:val="12"/>
  </w:num>
  <w:num w:numId="18" w16cid:durableId="1841501018">
    <w:abstractNumId w:val="7"/>
  </w:num>
  <w:num w:numId="19" w16cid:durableId="445344179">
    <w:abstractNumId w:val="24"/>
  </w:num>
  <w:num w:numId="20" w16cid:durableId="1326126617">
    <w:abstractNumId w:val="8"/>
  </w:num>
  <w:num w:numId="21" w16cid:durableId="1849783472">
    <w:abstractNumId w:val="17"/>
  </w:num>
  <w:num w:numId="22" w16cid:durableId="1543446573">
    <w:abstractNumId w:val="14"/>
  </w:num>
  <w:num w:numId="23" w16cid:durableId="315188580">
    <w:abstractNumId w:val="3"/>
  </w:num>
  <w:num w:numId="24" w16cid:durableId="29065116">
    <w:abstractNumId w:val="1"/>
  </w:num>
  <w:num w:numId="25" w16cid:durableId="1706901856">
    <w:abstractNumId w:val="27"/>
  </w:num>
  <w:num w:numId="26" w16cid:durableId="885216110">
    <w:abstractNumId w:val="22"/>
  </w:num>
  <w:num w:numId="27" w16cid:durableId="1694067053">
    <w:abstractNumId w:val="5"/>
  </w:num>
  <w:num w:numId="28" w16cid:durableId="1505167472">
    <w:abstractNumId w:val="21"/>
  </w:num>
  <w:num w:numId="29" w16cid:durableId="1942493439">
    <w:abstractNumId w:val="15"/>
  </w:num>
  <w:num w:numId="30" w16cid:durableId="328211952">
    <w:abstractNumId w:val="6"/>
  </w:num>
  <w:num w:numId="31" w16cid:durableId="123300166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712"/>
    <w:rsid w:val="00007CA3"/>
    <w:rsid w:val="00007CCE"/>
    <w:rsid w:val="00007DB6"/>
    <w:rsid w:val="0001092C"/>
    <w:rsid w:val="00010C43"/>
    <w:rsid w:val="00010F89"/>
    <w:rsid w:val="000113DB"/>
    <w:rsid w:val="00012986"/>
    <w:rsid w:val="00012B4A"/>
    <w:rsid w:val="00012C01"/>
    <w:rsid w:val="00014641"/>
    <w:rsid w:val="000153B8"/>
    <w:rsid w:val="00015727"/>
    <w:rsid w:val="0001578F"/>
    <w:rsid w:val="00015B8D"/>
    <w:rsid w:val="00016486"/>
    <w:rsid w:val="00016529"/>
    <w:rsid w:val="00016A0D"/>
    <w:rsid w:val="00016A5C"/>
    <w:rsid w:val="000176EF"/>
    <w:rsid w:val="00017971"/>
    <w:rsid w:val="00022356"/>
    <w:rsid w:val="00022475"/>
    <w:rsid w:val="000230FF"/>
    <w:rsid w:val="0002339D"/>
    <w:rsid w:val="00023452"/>
    <w:rsid w:val="0002425E"/>
    <w:rsid w:val="0002444F"/>
    <w:rsid w:val="00025192"/>
    <w:rsid w:val="0002544F"/>
    <w:rsid w:val="000263F1"/>
    <w:rsid w:val="00027896"/>
    <w:rsid w:val="00030540"/>
    <w:rsid w:val="000313CA"/>
    <w:rsid w:val="00031A3B"/>
    <w:rsid w:val="00031F5B"/>
    <w:rsid w:val="00034213"/>
    <w:rsid w:val="000348CC"/>
    <w:rsid w:val="000351B2"/>
    <w:rsid w:val="00036362"/>
    <w:rsid w:val="00036584"/>
    <w:rsid w:val="00037C54"/>
    <w:rsid w:val="0004016C"/>
    <w:rsid w:val="00040635"/>
    <w:rsid w:val="00040A6C"/>
    <w:rsid w:val="00040B04"/>
    <w:rsid w:val="00040F59"/>
    <w:rsid w:val="00040F97"/>
    <w:rsid w:val="00041A80"/>
    <w:rsid w:val="00041ED1"/>
    <w:rsid w:val="00042731"/>
    <w:rsid w:val="00042760"/>
    <w:rsid w:val="00042851"/>
    <w:rsid w:val="00042A26"/>
    <w:rsid w:val="00043029"/>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C44"/>
    <w:rsid w:val="00055DCD"/>
    <w:rsid w:val="0005699D"/>
    <w:rsid w:val="00056DB8"/>
    <w:rsid w:val="0006019E"/>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14B9"/>
    <w:rsid w:val="00081730"/>
    <w:rsid w:val="00081A90"/>
    <w:rsid w:val="00082559"/>
    <w:rsid w:val="0008291E"/>
    <w:rsid w:val="00083B6C"/>
    <w:rsid w:val="00084435"/>
    <w:rsid w:val="00085B68"/>
    <w:rsid w:val="00085C48"/>
    <w:rsid w:val="0008633D"/>
    <w:rsid w:val="00086414"/>
    <w:rsid w:val="000867D1"/>
    <w:rsid w:val="00086903"/>
    <w:rsid w:val="000869EF"/>
    <w:rsid w:val="00086C68"/>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6CB8"/>
    <w:rsid w:val="000970A4"/>
    <w:rsid w:val="000A0097"/>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A95"/>
    <w:rsid w:val="000A7D35"/>
    <w:rsid w:val="000B135D"/>
    <w:rsid w:val="000B20E0"/>
    <w:rsid w:val="000B2A3C"/>
    <w:rsid w:val="000B318F"/>
    <w:rsid w:val="000B3CC6"/>
    <w:rsid w:val="000B417D"/>
    <w:rsid w:val="000B4CD9"/>
    <w:rsid w:val="000B5642"/>
    <w:rsid w:val="000B57C1"/>
    <w:rsid w:val="000B71E0"/>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701E"/>
    <w:rsid w:val="000C7208"/>
    <w:rsid w:val="000C728B"/>
    <w:rsid w:val="000C75C6"/>
    <w:rsid w:val="000C77DF"/>
    <w:rsid w:val="000C7A79"/>
    <w:rsid w:val="000D07D4"/>
    <w:rsid w:val="000D13DE"/>
    <w:rsid w:val="000D1B97"/>
    <w:rsid w:val="000D2876"/>
    <w:rsid w:val="000D2BF5"/>
    <w:rsid w:val="000D357B"/>
    <w:rsid w:val="000D35C8"/>
    <w:rsid w:val="000D37E0"/>
    <w:rsid w:val="000D3A32"/>
    <w:rsid w:val="000D51E2"/>
    <w:rsid w:val="000D5A48"/>
    <w:rsid w:val="000D67DC"/>
    <w:rsid w:val="000D7615"/>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1620"/>
    <w:rsid w:val="000F1B27"/>
    <w:rsid w:val="000F2047"/>
    <w:rsid w:val="000F288B"/>
    <w:rsid w:val="000F2E4A"/>
    <w:rsid w:val="000F2E4E"/>
    <w:rsid w:val="000F2F3C"/>
    <w:rsid w:val="000F34FD"/>
    <w:rsid w:val="000F361C"/>
    <w:rsid w:val="000F3A5A"/>
    <w:rsid w:val="000F3F0F"/>
    <w:rsid w:val="000F43A4"/>
    <w:rsid w:val="000F4695"/>
    <w:rsid w:val="000F5866"/>
    <w:rsid w:val="000F5EC4"/>
    <w:rsid w:val="000F754F"/>
    <w:rsid w:val="00100555"/>
    <w:rsid w:val="0010083A"/>
    <w:rsid w:val="001008AE"/>
    <w:rsid w:val="001008F2"/>
    <w:rsid w:val="00100AA1"/>
    <w:rsid w:val="00100CCB"/>
    <w:rsid w:val="00101123"/>
    <w:rsid w:val="00101301"/>
    <w:rsid w:val="0010133B"/>
    <w:rsid w:val="00101767"/>
    <w:rsid w:val="00101CB2"/>
    <w:rsid w:val="0010224B"/>
    <w:rsid w:val="00102566"/>
    <w:rsid w:val="001028FB"/>
    <w:rsid w:val="0010295F"/>
    <w:rsid w:val="00102CE1"/>
    <w:rsid w:val="00102F38"/>
    <w:rsid w:val="00103480"/>
    <w:rsid w:val="00104409"/>
    <w:rsid w:val="00105CC4"/>
    <w:rsid w:val="00106D29"/>
    <w:rsid w:val="00106F97"/>
    <w:rsid w:val="00107017"/>
    <w:rsid w:val="00107E2B"/>
    <w:rsid w:val="00110DCF"/>
    <w:rsid w:val="00110E9F"/>
    <w:rsid w:val="00111243"/>
    <w:rsid w:val="00111533"/>
    <w:rsid w:val="00111E84"/>
    <w:rsid w:val="00111EC7"/>
    <w:rsid w:val="00111EE1"/>
    <w:rsid w:val="00112434"/>
    <w:rsid w:val="00112CCF"/>
    <w:rsid w:val="00113549"/>
    <w:rsid w:val="00114394"/>
    <w:rsid w:val="001143B2"/>
    <w:rsid w:val="00114409"/>
    <w:rsid w:val="001148B3"/>
    <w:rsid w:val="00115337"/>
    <w:rsid w:val="00115A47"/>
    <w:rsid w:val="00116742"/>
    <w:rsid w:val="00116996"/>
    <w:rsid w:val="00116B3D"/>
    <w:rsid w:val="00116D11"/>
    <w:rsid w:val="0011721D"/>
    <w:rsid w:val="0012004C"/>
    <w:rsid w:val="00120790"/>
    <w:rsid w:val="001209E0"/>
    <w:rsid w:val="00121EF0"/>
    <w:rsid w:val="0012323A"/>
    <w:rsid w:val="00123334"/>
    <w:rsid w:val="0012346A"/>
    <w:rsid w:val="001249DD"/>
    <w:rsid w:val="00125A45"/>
    <w:rsid w:val="0012674A"/>
    <w:rsid w:val="0012699B"/>
    <w:rsid w:val="0012775B"/>
    <w:rsid w:val="00127A6E"/>
    <w:rsid w:val="00127DAC"/>
    <w:rsid w:val="00130410"/>
    <w:rsid w:val="00130DD4"/>
    <w:rsid w:val="0013115A"/>
    <w:rsid w:val="00131EFF"/>
    <w:rsid w:val="00131F64"/>
    <w:rsid w:val="00132692"/>
    <w:rsid w:val="001327FF"/>
    <w:rsid w:val="00132B1D"/>
    <w:rsid w:val="00133698"/>
    <w:rsid w:val="00133838"/>
    <w:rsid w:val="00134606"/>
    <w:rsid w:val="00134844"/>
    <w:rsid w:val="001348BB"/>
    <w:rsid w:val="00134A4F"/>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EE7"/>
    <w:rsid w:val="00143FB6"/>
    <w:rsid w:val="001453C6"/>
    <w:rsid w:val="00145735"/>
    <w:rsid w:val="00145B91"/>
    <w:rsid w:val="00145B9A"/>
    <w:rsid w:val="00145C03"/>
    <w:rsid w:val="00145ECB"/>
    <w:rsid w:val="001461B7"/>
    <w:rsid w:val="00146306"/>
    <w:rsid w:val="00146815"/>
    <w:rsid w:val="001473AF"/>
    <w:rsid w:val="001507A4"/>
    <w:rsid w:val="00150E73"/>
    <w:rsid w:val="00150EA6"/>
    <w:rsid w:val="001511A2"/>
    <w:rsid w:val="00151B68"/>
    <w:rsid w:val="00151E26"/>
    <w:rsid w:val="00151F6B"/>
    <w:rsid w:val="001525D4"/>
    <w:rsid w:val="00152BC2"/>
    <w:rsid w:val="00152F25"/>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6A8"/>
    <w:rsid w:val="00165A2C"/>
    <w:rsid w:val="00166643"/>
    <w:rsid w:val="001700B2"/>
    <w:rsid w:val="001703E5"/>
    <w:rsid w:val="001714CC"/>
    <w:rsid w:val="00171F0A"/>
    <w:rsid w:val="00172D9A"/>
    <w:rsid w:val="00172F5B"/>
    <w:rsid w:val="00173DDE"/>
    <w:rsid w:val="0017414A"/>
    <w:rsid w:val="00174903"/>
    <w:rsid w:val="00174ABD"/>
    <w:rsid w:val="00174D49"/>
    <w:rsid w:val="00175B9B"/>
    <w:rsid w:val="00175C6A"/>
    <w:rsid w:val="00175F5F"/>
    <w:rsid w:val="001760DC"/>
    <w:rsid w:val="00176100"/>
    <w:rsid w:val="00176713"/>
    <w:rsid w:val="00177519"/>
    <w:rsid w:val="00177783"/>
    <w:rsid w:val="001779FA"/>
    <w:rsid w:val="00177E0D"/>
    <w:rsid w:val="001805E9"/>
    <w:rsid w:val="001806B3"/>
    <w:rsid w:val="00180E68"/>
    <w:rsid w:val="0018174B"/>
    <w:rsid w:val="00181970"/>
    <w:rsid w:val="001832F5"/>
    <w:rsid w:val="00183DA8"/>
    <w:rsid w:val="00184417"/>
    <w:rsid w:val="001847C8"/>
    <w:rsid w:val="00184C73"/>
    <w:rsid w:val="0018500E"/>
    <w:rsid w:val="0018524D"/>
    <w:rsid w:val="00185C03"/>
    <w:rsid w:val="00186626"/>
    <w:rsid w:val="001866A5"/>
    <w:rsid w:val="001866E2"/>
    <w:rsid w:val="00187A3B"/>
    <w:rsid w:val="00187B0D"/>
    <w:rsid w:val="00187EB7"/>
    <w:rsid w:val="00190519"/>
    <w:rsid w:val="001907E4"/>
    <w:rsid w:val="00190AE1"/>
    <w:rsid w:val="00191499"/>
    <w:rsid w:val="00191C05"/>
    <w:rsid w:val="00192069"/>
    <w:rsid w:val="001924D5"/>
    <w:rsid w:val="00192C17"/>
    <w:rsid w:val="00193C84"/>
    <w:rsid w:val="001945F6"/>
    <w:rsid w:val="00194605"/>
    <w:rsid w:val="001947AD"/>
    <w:rsid w:val="001948DE"/>
    <w:rsid w:val="001956F7"/>
    <w:rsid w:val="0019642F"/>
    <w:rsid w:val="001964C4"/>
    <w:rsid w:val="001965D8"/>
    <w:rsid w:val="00197D75"/>
    <w:rsid w:val="001A0B31"/>
    <w:rsid w:val="001A0DF7"/>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6070"/>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C01"/>
    <w:rsid w:val="001B74CF"/>
    <w:rsid w:val="001C002E"/>
    <w:rsid w:val="001C181D"/>
    <w:rsid w:val="001C2183"/>
    <w:rsid w:val="001C4866"/>
    <w:rsid w:val="001C5BB2"/>
    <w:rsid w:val="001C5ED2"/>
    <w:rsid w:val="001C6111"/>
    <w:rsid w:val="001C6330"/>
    <w:rsid w:val="001C668F"/>
    <w:rsid w:val="001C6A9A"/>
    <w:rsid w:val="001C6FC7"/>
    <w:rsid w:val="001C722B"/>
    <w:rsid w:val="001C7BF3"/>
    <w:rsid w:val="001C7C87"/>
    <w:rsid w:val="001D028E"/>
    <w:rsid w:val="001D0481"/>
    <w:rsid w:val="001D1208"/>
    <w:rsid w:val="001D2669"/>
    <w:rsid w:val="001D32E6"/>
    <w:rsid w:val="001D3FAE"/>
    <w:rsid w:val="001D4278"/>
    <w:rsid w:val="001D4D99"/>
    <w:rsid w:val="001D55A3"/>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429"/>
    <w:rsid w:val="001E7C09"/>
    <w:rsid w:val="001F00C2"/>
    <w:rsid w:val="001F0C17"/>
    <w:rsid w:val="001F1330"/>
    <w:rsid w:val="001F1E5D"/>
    <w:rsid w:val="001F205B"/>
    <w:rsid w:val="001F2DDC"/>
    <w:rsid w:val="001F34B3"/>
    <w:rsid w:val="001F40B5"/>
    <w:rsid w:val="001F413C"/>
    <w:rsid w:val="001F6CFC"/>
    <w:rsid w:val="001F7052"/>
    <w:rsid w:val="001F7136"/>
    <w:rsid w:val="001F78F3"/>
    <w:rsid w:val="002002C7"/>
    <w:rsid w:val="002010F4"/>
    <w:rsid w:val="002013BC"/>
    <w:rsid w:val="00201951"/>
    <w:rsid w:val="00201C1B"/>
    <w:rsid w:val="00202C04"/>
    <w:rsid w:val="00203646"/>
    <w:rsid w:val="00204355"/>
    <w:rsid w:val="00204FDA"/>
    <w:rsid w:val="002051BB"/>
    <w:rsid w:val="0020547D"/>
    <w:rsid w:val="00206449"/>
    <w:rsid w:val="002065FE"/>
    <w:rsid w:val="0020697F"/>
    <w:rsid w:val="00206FE7"/>
    <w:rsid w:val="002077FC"/>
    <w:rsid w:val="00207CB9"/>
    <w:rsid w:val="002102C5"/>
    <w:rsid w:val="002104B6"/>
    <w:rsid w:val="002112A1"/>
    <w:rsid w:val="00212363"/>
    <w:rsid w:val="0021268D"/>
    <w:rsid w:val="00213B5D"/>
    <w:rsid w:val="00213DCB"/>
    <w:rsid w:val="00214187"/>
    <w:rsid w:val="00214242"/>
    <w:rsid w:val="00215CD7"/>
    <w:rsid w:val="00216341"/>
    <w:rsid w:val="002163F5"/>
    <w:rsid w:val="00216E4E"/>
    <w:rsid w:val="00216F04"/>
    <w:rsid w:val="0021770E"/>
    <w:rsid w:val="002177B6"/>
    <w:rsid w:val="002178F3"/>
    <w:rsid w:val="00217A3E"/>
    <w:rsid w:val="00220478"/>
    <w:rsid w:val="002210C1"/>
    <w:rsid w:val="00222A5A"/>
    <w:rsid w:val="00222E95"/>
    <w:rsid w:val="00222EDC"/>
    <w:rsid w:val="0022305E"/>
    <w:rsid w:val="00223740"/>
    <w:rsid w:val="0022462B"/>
    <w:rsid w:val="00224F92"/>
    <w:rsid w:val="002250C7"/>
    <w:rsid w:val="00225D5C"/>
    <w:rsid w:val="002262C5"/>
    <w:rsid w:val="00227515"/>
    <w:rsid w:val="0022765E"/>
    <w:rsid w:val="00230C3A"/>
    <w:rsid w:val="002311D8"/>
    <w:rsid w:val="00231897"/>
    <w:rsid w:val="00231992"/>
    <w:rsid w:val="00231A53"/>
    <w:rsid w:val="0023240F"/>
    <w:rsid w:val="0023300F"/>
    <w:rsid w:val="00233B32"/>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94"/>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2027"/>
    <w:rsid w:val="0025211F"/>
    <w:rsid w:val="00252284"/>
    <w:rsid w:val="00252587"/>
    <w:rsid w:val="0025277C"/>
    <w:rsid w:val="002529DA"/>
    <w:rsid w:val="00253DE2"/>
    <w:rsid w:val="00253E4D"/>
    <w:rsid w:val="0025480C"/>
    <w:rsid w:val="002548FE"/>
    <w:rsid w:val="00254AF1"/>
    <w:rsid w:val="00255B4F"/>
    <w:rsid w:val="00255CE6"/>
    <w:rsid w:val="00255EAF"/>
    <w:rsid w:val="002566B7"/>
    <w:rsid w:val="002569D5"/>
    <w:rsid w:val="00257CCE"/>
    <w:rsid w:val="00257FDB"/>
    <w:rsid w:val="002602D0"/>
    <w:rsid w:val="00260871"/>
    <w:rsid w:val="00260B32"/>
    <w:rsid w:val="002612E2"/>
    <w:rsid w:val="002613B0"/>
    <w:rsid w:val="00261D35"/>
    <w:rsid w:val="00262725"/>
    <w:rsid w:val="00262BED"/>
    <w:rsid w:val="002635D1"/>
    <w:rsid w:val="00263C8B"/>
    <w:rsid w:val="00264D9C"/>
    <w:rsid w:val="00264F84"/>
    <w:rsid w:val="00264FCF"/>
    <w:rsid w:val="002653C7"/>
    <w:rsid w:val="00265C2D"/>
    <w:rsid w:val="00265CB6"/>
    <w:rsid w:val="002661C3"/>
    <w:rsid w:val="00266312"/>
    <w:rsid w:val="00266BCB"/>
    <w:rsid w:val="00266C3F"/>
    <w:rsid w:val="0026720B"/>
    <w:rsid w:val="0026776B"/>
    <w:rsid w:val="00267A13"/>
    <w:rsid w:val="00267B46"/>
    <w:rsid w:val="00267F8F"/>
    <w:rsid w:val="002702D4"/>
    <w:rsid w:val="002703FC"/>
    <w:rsid w:val="00270A4E"/>
    <w:rsid w:val="00271026"/>
    <w:rsid w:val="00271078"/>
    <w:rsid w:val="00271284"/>
    <w:rsid w:val="002712EA"/>
    <w:rsid w:val="00272854"/>
    <w:rsid w:val="002728D9"/>
    <w:rsid w:val="00272AD1"/>
    <w:rsid w:val="00272B86"/>
    <w:rsid w:val="00272DEE"/>
    <w:rsid w:val="0027311D"/>
    <w:rsid w:val="00274CE0"/>
    <w:rsid w:val="00274DAF"/>
    <w:rsid w:val="00275950"/>
    <w:rsid w:val="00275A6A"/>
    <w:rsid w:val="00275B1C"/>
    <w:rsid w:val="00276099"/>
    <w:rsid w:val="00276EB2"/>
    <w:rsid w:val="002774B0"/>
    <w:rsid w:val="002779F6"/>
    <w:rsid w:val="00280125"/>
    <w:rsid w:val="0028068A"/>
    <w:rsid w:val="00280B50"/>
    <w:rsid w:val="00280C45"/>
    <w:rsid w:val="00280D8B"/>
    <w:rsid w:val="00280E00"/>
    <w:rsid w:val="002812BF"/>
    <w:rsid w:val="00281E1C"/>
    <w:rsid w:val="002821B4"/>
    <w:rsid w:val="002821EE"/>
    <w:rsid w:val="00282A57"/>
    <w:rsid w:val="00283709"/>
    <w:rsid w:val="00283DBB"/>
    <w:rsid w:val="002841EF"/>
    <w:rsid w:val="0028521E"/>
    <w:rsid w:val="002857A5"/>
    <w:rsid w:val="00285AC5"/>
    <w:rsid w:val="00285C41"/>
    <w:rsid w:val="0028671D"/>
    <w:rsid w:val="0028723F"/>
    <w:rsid w:val="00287454"/>
    <w:rsid w:val="00287B9B"/>
    <w:rsid w:val="00290252"/>
    <w:rsid w:val="00290255"/>
    <w:rsid w:val="002905FA"/>
    <w:rsid w:val="00290920"/>
    <w:rsid w:val="00290CE1"/>
    <w:rsid w:val="00290D81"/>
    <w:rsid w:val="00291E67"/>
    <w:rsid w:val="00291EF1"/>
    <w:rsid w:val="00292558"/>
    <w:rsid w:val="00292C49"/>
    <w:rsid w:val="00292F56"/>
    <w:rsid w:val="002935D0"/>
    <w:rsid w:val="002936B7"/>
    <w:rsid w:val="00293E8E"/>
    <w:rsid w:val="0029428C"/>
    <w:rsid w:val="002950D3"/>
    <w:rsid w:val="00296106"/>
    <w:rsid w:val="002961BD"/>
    <w:rsid w:val="00296F86"/>
    <w:rsid w:val="0029777F"/>
    <w:rsid w:val="00297C90"/>
    <w:rsid w:val="002A0024"/>
    <w:rsid w:val="002A09B9"/>
    <w:rsid w:val="002A0C3C"/>
    <w:rsid w:val="002A1542"/>
    <w:rsid w:val="002A160B"/>
    <w:rsid w:val="002A1BA4"/>
    <w:rsid w:val="002A1DE8"/>
    <w:rsid w:val="002A3955"/>
    <w:rsid w:val="002A3A7C"/>
    <w:rsid w:val="002A3A7E"/>
    <w:rsid w:val="002A3D3F"/>
    <w:rsid w:val="002A49FB"/>
    <w:rsid w:val="002A5125"/>
    <w:rsid w:val="002A598D"/>
    <w:rsid w:val="002A5BCA"/>
    <w:rsid w:val="002A5E04"/>
    <w:rsid w:val="002A6452"/>
    <w:rsid w:val="002A676E"/>
    <w:rsid w:val="002A69C4"/>
    <w:rsid w:val="002A750F"/>
    <w:rsid w:val="002A7BF0"/>
    <w:rsid w:val="002A7D46"/>
    <w:rsid w:val="002B009E"/>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C37"/>
    <w:rsid w:val="002C1C8E"/>
    <w:rsid w:val="002C1FFC"/>
    <w:rsid w:val="002C28C8"/>
    <w:rsid w:val="002C2B84"/>
    <w:rsid w:val="002C3788"/>
    <w:rsid w:val="002C4021"/>
    <w:rsid w:val="002C410A"/>
    <w:rsid w:val="002C458D"/>
    <w:rsid w:val="002C4C02"/>
    <w:rsid w:val="002C4FCB"/>
    <w:rsid w:val="002C596E"/>
    <w:rsid w:val="002C6340"/>
    <w:rsid w:val="002C6A5E"/>
    <w:rsid w:val="002C6A84"/>
    <w:rsid w:val="002C6BCC"/>
    <w:rsid w:val="002D13B4"/>
    <w:rsid w:val="002D1816"/>
    <w:rsid w:val="002D2C28"/>
    <w:rsid w:val="002D2D0B"/>
    <w:rsid w:val="002D3DF7"/>
    <w:rsid w:val="002D3E32"/>
    <w:rsid w:val="002D491C"/>
    <w:rsid w:val="002D4B3B"/>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F09F2"/>
    <w:rsid w:val="002F0D22"/>
    <w:rsid w:val="002F101E"/>
    <w:rsid w:val="002F1031"/>
    <w:rsid w:val="002F119E"/>
    <w:rsid w:val="002F157B"/>
    <w:rsid w:val="002F17C7"/>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CC6"/>
    <w:rsid w:val="002F6FE1"/>
    <w:rsid w:val="002F73A2"/>
    <w:rsid w:val="002F78E9"/>
    <w:rsid w:val="002F7E8A"/>
    <w:rsid w:val="00300739"/>
    <w:rsid w:val="0030085C"/>
    <w:rsid w:val="003010D6"/>
    <w:rsid w:val="003014DF"/>
    <w:rsid w:val="00302EEE"/>
    <w:rsid w:val="00303824"/>
    <w:rsid w:val="00304B27"/>
    <w:rsid w:val="0030505A"/>
    <w:rsid w:val="00305C62"/>
    <w:rsid w:val="0030607B"/>
    <w:rsid w:val="00306AB1"/>
    <w:rsid w:val="00306E93"/>
    <w:rsid w:val="00306F2A"/>
    <w:rsid w:val="003071B8"/>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6330"/>
    <w:rsid w:val="00317328"/>
    <w:rsid w:val="00317592"/>
    <w:rsid w:val="0031765C"/>
    <w:rsid w:val="00317914"/>
    <w:rsid w:val="00317C56"/>
    <w:rsid w:val="00317FCB"/>
    <w:rsid w:val="003209D9"/>
    <w:rsid w:val="00320E1E"/>
    <w:rsid w:val="0032134C"/>
    <w:rsid w:val="003215E7"/>
    <w:rsid w:val="00321E66"/>
    <w:rsid w:val="0032283D"/>
    <w:rsid w:val="003231DA"/>
    <w:rsid w:val="00323798"/>
    <w:rsid w:val="003248C3"/>
    <w:rsid w:val="00324C27"/>
    <w:rsid w:val="003252AE"/>
    <w:rsid w:val="00325F22"/>
    <w:rsid w:val="003260B4"/>
    <w:rsid w:val="00326442"/>
    <w:rsid w:val="00326923"/>
    <w:rsid w:val="00326A03"/>
    <w:rsid w:val="00326D4E"/>
    <w:rsid w:val="00326FA5"/>
    <w:rsid w:val="0032705A"/>
    <w:rsid w:val="00327639"/>
    <w:rsid w:val="00327DE9"/>
    <w:rsid w:val="003306DB"/>
    <w:rsid w:val="00330972"/>
    <w:rsid w:val="003309FE"/>
    <w:rsid w:val="003323B9"/>
    <w:rsid w:val="00332628"/>
    <w:rsid w:val="00332825"/>
    <w:rsid w:val="00332B3C"/>
    <w:rsid w:val="00333BE5"/>
    <w:rsid w:val="003349A0"/>
    <w:rsid w:val="00334F46"/>
    <w:rsid w:val="00335C5F"/>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F1A"/>
    <w:rsid w:val="003457DD"/>
    <w:rsid w:val="00345A59"/>
    <w:rsid w:val="00345F32"/>
    <w:rsid w:val="0034623E"/>
    <w:rsid w:val="00346614"/>
    <w:rsid w:val="00346B38"/>
    <w:rsid w:val="00346CF0"/>
    <w:rsid w:val="003471AA"/>
    <w:rsid w:val="00347CA1"/>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90A"/>
    <w:rsid w:val="00356BE2"/>
    <w:rsid w:val="00356D56"/>
    <w:rsid w:val="00356F98"/>
    <w:rsid w:val="00357FEF"/>
    <w:rsid w:val="0036079B"/>
    <w:rsid w:val="00361297"/>
    <w:rsid w:val="00361A2C"/>
    <w:rsid w:val="003625BB"/>
    <w:rsid w:val="00362D1F"/>
    <w:rsid w:val="00362D84"/>
    <w:rsid w:val="00363250"/>
    <w:rsid w:val="00363344"/>
    <w:rsid w:val="0036355B"/>
    <w:rsid w:val="003639EB"/>
    <w:rsid w:val="00363CA1"/>
    <w:rsid w:val="003647DA"/>
    <w:rsid w:val="0036487F"/>
    <w:rsid w:val="00364A77"/>
    <w:rsid w:val="00365150"/>
    <w:rsid w:val="00365952"/>
    <w:rsid w:val="0036604D"/>
    <w:rsid w:val="00366140"/>
    <w:rsid w:val="003672CF"/>
    <w:rsid w:val="003703F8"/>
    <w:rsid w:val="00370BD0"/>
    <w:rsid w:val="003721C4"/>
    <w:rsid w:val="003723CD"/>
    <w:rsid w:val="0037257C"/>
    <w:rsid w:val="00372B1F"/>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70A"/>
    <w:rsid w:val="00382652"/>
    <w:rsid w:val="0038346F"/>
    <w:rsid w:val="0038376F"/>
    <w:rsid w:val="003837E6"/>
    <w:rsid w:val="00383E06"/>
    <w:rsid w:val="00384269"/>
    <w:rsid w:val="00384511"/>
    <w:rsid w:val="003846E7"/>
    <w:rsid w:val="00384B5D"/>
    <w:rsid w:val="00385A29"/>
    <w:rsid w:val="00386450"/>
    <w:rsid w:val="0038695F"/>
    <w:rsid w:val="00386ECE"/>
    <w:rsid w:val="00387764"/>
    <w:rsid w:val="00387BBA"/>
    <w:rsid w:val="00387CCE"/>
    <w:rsid w:val="00387DCC"/>
    <w:rsid w:val="00390C7D"/>
    <w:rsid w:val="00390D1E"/>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B00"/>
    <w:rsid w:val="003A0C1E"/>
    <w:rsid w:val="003A0E8D"/>
    <w:rsid w:val="003A143B"/>
    <w:rsid w:val="003A1888"/>
    <w:rsid w:val="003A1EAB"/>
    <w:rsid w:val="003A3863"/>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6FC"/>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29C"/>
    <w:rsid w:val="003C64CA"/>
    <w:rsid w:val="003C6C5B"/>
    <w:rsid w:val="003C7CAF"/>
    <w:rsid w:val="003C7F90"/>
    <w:rsid w:val="003D007A"/>
    <w:rsid w:val="003D0112"/>
    <w:rsid w:val="003D01B9"/>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5867"/>
    <w:rsid w:val="003D727A"/>
    <w:rsid w:val="003D76A3"/>
    <w:rsid w:val="003D793E"/>
    <w:rsid w:val="003D7E5F"/>
    <w:rsid w:val="003E0CEB"/>
    <w:rsid w:val="003E0FD1"/>
    <w:rsid w:val="003E1154"/>
    <w:rsid w:val="003E1852"/>
    <w:rsid w:val="003E1DD7"/>
    <w:rsid w:val="003E22CB"/>
    <w:rsid w:val="003E2B42"/>
    <w:rsid w:val="003E308B"/>
    <w:rsid w:val="003E334A"/>
    <w:rsid w:val="003E3358"/>
    <w:rsid w:val="003E3518"/>
    <w:rsid w:val="003E36CA"/>
    <w:rsid w:val="003E37ED"/>
    <w:rsid w:val="003E392F"/>
    <w:rsid w:val="003E450C"/>
    <w:rsid w:val="003E50C5"/>
    <w:rsid w:val="003E5397"/>
    <w:rsid w:val="003E5AC3"/>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5F0"/>
    <w:rsid w:val="00403447"/>
    <w:rsid w:val="00403CFD"/>
    <w:rsid w:val="00404AC0"/>
    <w:rsid w:val="00404D32"/>
    <w:rsid w:val="00404D83"/>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78E"/>
    <w:rsid w:val="00424D4C"/>
    <w:rsid w:val="00424DA2"/>
    <w:rsid w:val="00424ED5"/>
    <w:rsid w:val="00425599"/>
    <w:rsid w:val="0042576C"/>
    <w:rsid w:val="004261AF"/>
    <w:rsid w:val="004270AD"/>
    <w:rsid w:val="0042742A"/>
    <w:rsid w:val="00427B81"/>
    <w:rsid w:val="004300EC"/>
    <w:rsid w:val="004305BE"/>
    <w:rsid w:val="004306A9"/>
    <w:rsid w:val="0043083D"/>
    <w:rsid w:val="00430E1B"/>
    <w:rsid w:val="0043148C"/>
    <w:rsid w:val="00431739"/>
    <w:rsid w:val="00431CA6"/>
    <w:rsid w:val="00431D9C"/>
    <w:rsid w:val="004323C3"/>
    <w:rsid w:val="00432785"/>
    <w:rsid w:val="00433854"/>
    <w:rsid w:val="00433AAA"/>
    <w:rsid w:val="00433BFB"/>
    <w:rsid w:val="0043424B"/>
    <w:rsid w:val="004345FC"/>
    <w:rsid w:val="00434841"/>
    <w:rsid w:val="0043519C"/>
    <w:rsid w:val="00435A45"/>
    <w:rsid w:val="00436447"/>
    <w:rsid w:val="004364BA"/>
    <w:rsid w:val="0043696F"/>
    <w:rsid w:val="00436C96"/>
    <w:rsid w:val="004370D2"/>
    <w:rsid w:val="00437CE3"/>
    <w:rsid w:val="00437F62"/>
    <w:rsid w:val="00437FA4"/>
    <w:rsid w:val="004406BA"/>
    <w:rsid w:val="004407D0"/>
    <w:rsid w:val="004409BF"/>
    <w:rsid w:val="00440CB4"/>
    <w:rsid w:val="00442922"/>
    <w:rsid w:val="00443560"/>
    <w:rsid w:val="004440C3"/>
    <w:rsid w:val="004441FE"/>
    <w:rsid w:val="004447B2"/>
    <w:rsid w:val="00444DEF"/>
    <w:rsid w:val="0044559B"/>
    <w:rsid w:val="004457A3"/>
    <w:rsid w:val="004458EA"/>
    <w:rsid w:val="00445F9C"/>
    <w:rsid w:val="0044617E"/>
    <w:rsid w:val="00446B09"/>
    <w:rsid w:val="0044750A"/>
    <w:rsid w:val="0044768E"/>
    <w:rsid w:val="004502A6"/>
    <w:rsid w:val="004507FF"/>
    <w:rsid w:val="00450F2F"/>
    <w:rsid w:val="00451204"/>
    <w:rsid w:val="004516DB"/>
    <w:rsid w:val="0045171E"/>
    <w:rsid w:val="004520E4"/>
    <w:rsid w:val="00452A7E"/>
    <w:rsid w:val="0045302E"/>
    <w:rsid w:val="0045329E"/>
    <w:rsid w:val="004539A3"/>
    <w:rsid w:val="00454FB7"/>
    <w:rsid w:val="004551A9"/>
    <w:rsid w:val="00455482"/>
    <w:rsid w:val="00455E1E"/>
    <w:rsid w:val="00456471"/>
    <w:rsid w:val="00456D0F"/>
    <w:rsid w:val="00456EFB"/>
    <w:rsid w:val="0045718D"/>
    <w:rsid w:val="00460068"/>
    <w:rsid w:val="00460EB2"/>
    <w:rsid w:val="0046159C"/>
    <w:rsid w:val="004633F5"/>
    <w:rsid w:val="00463483"/>
    <w:rsid w:val="00463AA6"/>
    <w:rsid w:val="00464218"/>
    <w:rsid w:val="00465137"/>
    <w:rsid w:val="00465433"/>
    <w:rsid w:val="00465DAE"/>
    <w:rsid w:val="0046643C"/>
    <w:rsid w:val="004665CB"/>
    <w:rsid w:val="0046679E"/>
    <w:rsid w:val="00466F52"/>
    <w:rsid w:val="00466FEE"/>
    <w:rsid w:val="00467191"/>
    <w:rsid w:val="004673A3"/>
    <w:rsid w:val="004702F3"/>
    <w:rsid w:val="004706B0"/>
    <w:rsid w:val="004714E8"/>
    <w:rsid w:val="00471C89"/>
    <w:rsid w:val="00472569"/>
    <w:rsid w:val="00472915"/>
    <w:rsid w:val="00472958"/>
    <w:rsid w:val="004729F5"/>
    <w:rsid w:val="0047317E"/>
    <w:rsid w:val="004748D6"/>
    <w:rsid w:val="00474993"/>
    <w:rsid w:val="00475114"/>
    <w:rsid w:val="004754E5"/>
    <w:rsid w:val="0047565A"/>
    <w:rsid w:val="00475AF7"/>
    <w:rsid w:val="00475DF8"/>
    <w:rsid w:val="00475F8A"/>
    <w:rsid w:val="004768B5"/>
    <w:rsid w:val="00476918"/>
    <w:rsid w:val="00477051"/>
    <w:rsid w:val="00477506"/>
    <w:rsid w:val="00477798"/>
    <w:rsid w:val="004803B1"/>
    <w:rsid w:val="00480479"/>
    <w:rsid w:val="004810D3"/>
    <w:rsid w:val="00481A00"/>
    <w:rsid w:val="00481D85"/>
    <w:rsid w:val="0048293F"/>
    <w:rsid w:val="00482F01"/>
    <w:rsid w:val="00483826"/>
    <w:rsid w:val="00483C43"/>
    <w:rsid w:val="0048402A"/>
    <w:rsid w:val="00484654"/>
    <w:rsid w:val="00484BD0"/>
    <w:rsid w:val="00485D8A"/>
    <w:rsid w:val="00486006"/>
    <w:rsid w:val="00486588"/>
    <w:rsid w:val="0048689E"/>
    <w:rsid w:val="00486F2F"/>
    <w:rsid w:val="0048715B"/>
    <w:rsid w:val="00487A9D"/>
    <w:rsid w:val="004903BC"/>
    <w:rsid w:val="004907A9"/>
    <w:rsid w:val="00490D70"/>
    <w:rsid w:val="00490E86"/>
    <w:rsid w:val="004924A8"/>
    <w:rsid w:val="004928A7"/>
    <w:rsid w:val="00492AF0"/>
    <w:rsid w:val="00492D58"/>
    <w:rsid w:val="00492DAB"/>
    <w:rsid w:val="00492EDC"/>
    <w:rsid w:val="00493611"/>
    <w:rsid w:val="00493B19"/>
    <w:rsid w:val="00493BA9"/>
    <w:rsid w:val="00493DDA"/>
    <w:rsid w:val="004944AC"/>
    <w:rsid w:val="00496305"/>
    <w:rsid w:val="00496520"/>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820"/>
    <w:rsid w:val="004B3451"/>
    <w:rsid w:val="004B3E3C"/>
    <w:rsid w:val="004B46B0"/>
    <w:rsid w:val="004B4D7A"/>
    <w:rsid w:val="004B4E4F"/>
    <w:rsid w:val="004B5876"/>
    <w:rsid w:val="004B6197"/>
    <w:rsid w:val="004B68C4"/>
    <w:rsid w:val="004B6AFF"/>
    <w:rsid w:val="004B6B7C"/>
    <w:rsid w:val="004B7941"/>
    <w:rsid w:val="004B795A"/>
    <w:rsid w:val="004C0173"/>
    <w:rsid w:val="004C03DC"/>
    <w:rsid w:val="004C07AB"/>
    <w:rsid w:val="004C0A9D"/>
    <w:rsid w:val="004C0AA9"/>
    <w:rsid w:val="004C13F9"/>
    <w:rsid w:val="004C1EC6"/>
    <w:rsid w:val="004C25F1"/>
    <w:rsid w:val="004C39C8"/>
    <w:rsid w:val="004C3F3D"/>
    <w:rsid w:val="004C5151"/>
    <w:rsid w:val="004C61F6"/>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F05"/>
    <w:rsid w:val="004D2149"/>
    <w:rsid w:val="004D23AA"/>
    <w:rsid w:val="004D2B66"/>
    <w:rsid w:val="004D31BD"/>
    <w:rsid w:val="004D31D9"/>
    <w:rsid w:val="004D34D2"/>
    <w:rsid w:val="004D3568"/>
    <w:rsid w:val="004D40AF"/>
    <w:rsid w:val="004D424B"/>
    <w:rsid w:val="004D45DA"/>
    <w:rsid w:val="004D5A38"/>
    <w:rsid w:val="004D5E07"/>
    <w:rsid w:val="004D643C"/>
    <w:rsid w:val="004D6606"/>
    <w:rsid w:val="004D6A7D"/>
    <w:rsid w:val="004D733A"/>
    <w:rsid w:val="004D7B1A"/>
    <w:rsid w:val="004E03E7"/>
    <w:rsid w:val="004E0B2B"/>
    <w:rsid w:val="004E1E40"/>
    <w:rsid w:val="004E1EB8"/>
    <w:rsid w:val="004E2791"/>
    <w:rsid w:val="004E2936"/>
    <w:rsid w:val="004E3DC9"/>
    <w:rsid w:val="004E4309"/>
    <w:rsid w:val="004E4D16"/>
    <w:rsid w:val="004E5B65"/>
    <w:rsid w:val="004E605E"/>
    <w:rsid w:val="004E6409"/>
    <w:rsid w:val="004E7626"/>
    <w:rsid w:val="004E7872"/>
    <w:rsid w:val="004E7B63"/>
    <w:rsid w:val="004E7D3A"/>
    <w:rsid w:val="004E7E07"/>
    <w:rsid w:val="004F0083"/>
    <w:rsid w:val="004F1294"/>
    <w:rsid w:val="004F13F9"/>
    <w:rsid w:val="004F1958"/>
    <w:rsid w:val="004F1D30"/>
    <w:rsid w:val="004F1F21"/>
    <w:rsid w:val="004F2184"/>
    <w:rsid w:val="004F2349"/>
    <w:rsid w:val="004F277F"/>
    <w:rsid w:val="004F389F"/>
    <w:rsid w:val="004F45C9"/>
    <w:rsid w:val="004F5149"/>
    <w:rsid w:val="004F59EB"/>
    <w:rsid w:val="004F5CFA"/>
    <w:rsid w:val="004F605F"/>
    <w:rsid w:val="004F7353"/>
    <w:rsid w:val="004F78DB"/>
    <w:rsid w:val="0050012E"/>
    <w:rsid w:val="00500CE0"/>
    <w:rsid w:val="00501304"/>
    <w:rsid w:val="00501603"/>
    <w:rsid w:val="0050192F"/>
    <w:rsid w:val="00502485"/>
    <w:rsid w:val="005026DF"/>
    <w:rsid w:val="005030F1"/>
    <w:rsid w:val="005034D3"/>
    <w:rsid w:val="00503C60"/>
    <w:rsid w:val="00503D01"/>
    <w:rsid w:val="00504B79"/>
    <w:rsid w:val="0050501C"/>
    <w:rsid w:val="0050569F"/>
    <w:rsid w:val="0050618F"/>
    <w:rsid w:val="00506326"/>
    <w:rsid w:val="00507030"/>
    <w:rsid w:val="00507667"/>
    <w:rsid w:val="00507E39"/>
    <w:rsid w:val="00507F6B"/>
    <w:rsid w:val="005116C5"/>
    <w:rsid w:val="00511826"/>
    <w:rsid w:val="005120AC"/>
    <w:rsid w:val="005120FC"/>
    <w:rsid w:val="0051257B"/>
    <w:rsid w:val="005126F3"/>
    <w:rsid w:val="00513689"/>
    <w:rsid w:val="005147A6"/>
    <w:rsid w:val="005153E1"/>
    <w:rsid w:val="005154E4"/>
    <w:rsid w:val="00515A86"/>
    <w:rsid w:val="005168A3"/>
    <w:rsid w:val="0051694E"/>
    <w:rsid w:val="00516AC3"/>
    <w:rsid w:val="00516BAB"/>
    <w:rsid w:val="00516DF0"/>
    <w:rsid w:val="00517D3C"/>
    <w:rsid w:val="00517D95"/>
    <w:rsid w:val="005200FF"/>
    <w:rsid w:val="005205FB"/>
    <w:rsid w:val="00520BDB"/>
    <w:rsid w:val="00520F93"/>
    <w:rsid w:val="005218A4"/>
    <w:rsid w:val="005223D9"/>
    <w:rsid w:val="0052288F"/>
    <w:rsid w:val="00522D44"/>
    <w:rsid w:val="00522FD3"/>
    <w:rsid w:val="00523CE1"/>
    <w:rsid w:val="00523D06"/>
    <w:rsid w:val="005251AB"/>
    <w:rsid w:val="005252DF"/>
    <w:rsid w:val="00525506"/>
    <w:rsid w:val="005257B2"/>
    <w:rsid w:val="0052598A"/>
    <w:rsid w:val="00526853"/>
    <w:rsid w:val="005269E7"/>
    <w:rsid w:val="00526D2C"/>
    <w:rsid w:val="00527719"/>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119D"/>
    <w:rsid w:val="00541AB3"/>
    <w:rsid w:val="00542553"/>
    <w:rsid w:val="00542C60"/>
    <w:rsid w:val="00542CAD"/>
    <w:rsid w:val="00543DCA"/>
    <w:rsid w:val="005444E5"/>
    <w:rsid w:val="00544696"/>
    <w:rsid w:val="00545613"/>
    <w:rsid w:val="00550037"/>
    <w:rsid w:val="00550365"/>
    <w:rsid w:val="005504FF"/>
    <w:rsid w:val="00550896"/>
    <w:rsid w:val="0055136B"/>
    <w:rsid w:val="00551670"/>
    <w:rsid w:val="005519A8"/>
    <w:rsid w:val="00552525"/>
    <w:rsid w:val="005527D5"/>
    <w:rsid w:val="00553087"/>
    <w:rsid w:val="00553DF7"/>
    <w:rsid w:val="00554868"/>
    <w:rsid w:val="005556F8"/>
    <w:rsid w:val="00555C79"/>
    <w:rsid w:val="0055609A"/>
    <w:rsid w:val="00556E82"/>
    <w:rsid w:val="005572C6"/>
    <w:rsid w:val="005603E2"/>
    <w:rsid w:val="00560DB7"/>
    <w:rsid w:val="00560FB0"/>
    <w:rsid w:val="005617F3"/>
    <w:rsid w:val="00561ADD"/>
    <w:rsid w:val="00561B5C"/>
    <w:rsid w:val="00561DD1"/>
    <w:rsid w:val="0056209A"/>
    <w:rsid w:val="0056221D"/>
    <w:rsid w:val="005623DC"/>
    <w:rsid w:val="00563520"/>
    <w:rsid w:val="005638AF"/>
    <w:rsid w:val="00563F75"/>
    <w:rsid w:val="00564BC2"/>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DF"/>
    <w:rsid w:val="00576BB1"/>
    <w:rsid w:val="0057721A"/>
    <w:rsid w:val="005774E1"/>
    <w:rsid w:val="00580597"/>
    <w:rsid w:val="005805BF"/>
    <w:rsid w:val="005805C2"/>
    <w:rsid w:val="005806FB"/>
    <w:rsid w:val="0058070D"/>
    <w:rsid w:val="00580E54"/>
    <w:rsid w:val="00581098"/>
    <w:rsid w:val="0058140D"/>
    <w:rsid w:val="00582345"/>
    <w:rsid w:val="005835A2"/>
    <w:rsid w:val="0058360D"/>
    <w:rsid w:val="00583742"/>
    <w:rsid w:val="00584164"/>
    <w:rsid w:val="00584C6B"/>
    <w:rsid w:val="005872EF"/>
    <w:rsid w:val="00587C68"/>
    <w:rsid w:val="00591607"/>
    <w:rsid w:val="005924DD"/>
    <w:rsid w:val="0059262E"/>
    <w:rsid w:val="0059297F"/>
    <w:rsid w:val="00592C42"/>
    <w:rsid w:val="00592E84"/>
    <w:rsid w:val="005935B2"/>
    <w:rsid w:val="00593822"/>
    <w:rsid w:val="00593963"/>
    <w:rsid w:val="00593BBE"/>
    <w:rsid w:val="00593EBA"/>
    <w:rsid w:val="005940D2"/>
    <w:rsid w:val="0059421F"/>
    <w:rsid w:val="005942DE"/>
    <w:rsid w:val="005942E4"/>
    <w:rsid w:val="00594660"/>
    <w:rsid w:val="0059469A"/>
    <w:rsid w:val="005947FC"/>
    <w:rsid w:val="00595B28"/>
    <w:rsid w:val="005974B2"/>
    <w:rsid w:val="00597A30"/>
    <w:rsid w:val="005A098F"/>
    <w:rsid w:val="005A17D6"/>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ED"/>
    <w:rsid w:val="005A7A32"/>
    <w:rsid w:val="005A7B22"/>
    <w:rsid w:val="005A7D28"/>
    <w:rsid w:val="005B023F"/>
    <w:rsid w:val="005B03C6"/>
    <w:rsid w:val="005B0541"/>
    <w:rsid w:val="005B146B"/>
    <w:rsid w:val="005B19DA"/>
    <w:rsid w:val="005B1AAE"/>
    <w:rsid w:val="005B1B39"/>
    <w:rsid w:val="005B1B58"/>
    <w:rsid w:val="005B1CB0"/>
    <w:rsid w:val="005B21DF"/>
    <w:rsid w:val="005B3328"/>
    <w:rsid w:val="005B35D1"/>
    <w:rsid w:val="005B3739"/>
    <w:rsid w:val="005B3990"/>
    <w:rsid w:val="005B3FCF"/>
    <w:rsid w:val="005B50BA"/>
    <w:rsid w:val="005B521C"/>
    <w:rsid w:val="005B5F9D"/>
    <w:rsid w:val="005B6457"/>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5E2"/>
    <w:rsid w:val="005C4E05"/>
    <w:rsid w:val="005C5371"/>
    <w:rsid w:val="005C5ACC"/>
    <w:rsid w:val="005C5BDF"/>
    <w:rsid w:val="005C5DAB"/>
    <w:rsid w:val="005C642C"/>
    <w:rsid w:val="005C65CA"/>
    <w:rsid w:val="005C6657"/>
    <w:rsid w:val="005C7267"/>
    <w:rsid w:val="005C7477"/>
    <w:rsid w:val="005C7AD3"/>
    <w:rsid w:val="005D01B2"/>
    <w:rsid w:val="005D0B56"/>
    <w:rsid w:val="005D1208"/>
    <w:rsid w:val="005D1E31"/>
    <w:rsid w:val="005D20B9"/>
    <w:rsid w:val="005D2125"/>
    <w:rsid w:val="005D2DBF"/>
    <w:rsid w:val="005D3328"/>
    <w:rsid w:val="005D3B27"/>
    <w:rsid w:val="005D42DB"/>
    <w:rsid w:val="005D452E"/>
    <w:rsid w:val="005D467B"/>
    <w:rsid w:val="005D49BA"/>
    <w:rsid w:val="005D4A5F"/>
    <w:rsid w:val="005D587C"/>
    <w:rsid w:val="005D61AB"/>
    <w:rsid w:val="005D62E3"/>
    <w:rsid w:val="005D6531"/>
    <w:rsid w:val="005D66DE"/>
    <w:rsid w:val="005D6ABC"/>
    <w:rsid w:val="005D6DAA"/>
    <w:rsid w:val="005D6EF0"/>
    <w:rsid w:val="005D6EF4"/>
    <w:rsid w:val="005E0BEE"/>
    <w:rsid w:val="005E1268"/>
    <w:rsid w:val="005E1774"/>
    <w:rsid w:val="005E194A"/>
    <w:rsid w:val="005E212B"/>
    <w:rsid w:val="005E224C"/>
    <w:rsid w:val="005E26C9"/>
    <w:rsid w:val="005E3378"/>
    <w:rsid w:val="005E3576"/>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CAC"/>
    <w:rsid w:val="005F255C"/>
    <w:rsid w:val="005F25B9"/>
    <w:rsid w:val="005F3176"/>
    <w:rsid w:val="005F402F"/>
    <w:rsid w:val="005F4DD7"/>
    <w:rsid w:val="005F51AD"/>
    <w:rsid w:val="005F6EE5"/>
    <w:rsid w:val="005F7688"/>
    <w:rsid w:val="0060030D"/>
    <w:rsid w:val="006016D8"/>
    <w:rsid w:val="0060189F"/>
    <w:rsid w:val="006020F7"/>
    <w:rsid w:val="006021DA"/>
    <w:rsid w:val="006024FC"/>
    <w:rsid w:val="00602CC8"/>
    <w:rsid w:val="006031C6"/>
    <w:rsid w:val="006034B7"/>
    <w:rsid w:val="00603AD8"/>
    <w:rsid w:val="00604B1B"/>
    <w:rsid w:val="006050DB"/>
    <w:rsid w:val="006051B2"/>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D3C"/>
    <w:rsid w:val="0061424D"/>
    <w:rsid w:val="00614442"/>
    <w:rsid w:val="00614478"/>
    <w:rsid w:val="0061478A"/>
    <w:rsid w:val="00614D7D"/>
    <w:rsid w:val="00615250"/>
    <w:rsid w:val="0061559E"/>
    <w:rsid w:val="00615753"/>
    <w:rsid w:val="00616074"/>
    <w:rsid w:val="00616567"/>
    <w:rsid w:val="00616A3F"/>
    <w:rsid w:val="00616DC9"/>
    <w:rsid w:val="006176CE"/>
    <w:rsid w:val="00620015"/>
    <w:rsid w:val="006215F0"/>
    <w:rsid w:val="0062188F"/>
    <w:rsid w:val="00621953"/>
    <w:rsid w:val="00621B20"/>
    <w:rsid w:val="00621C05"/>
    <w:rsid w:val="00622B07"/>
    <w:rsid w:val="00623379"/>
    <w:rsid w:val="00623A82"/>
    <w:rsid w:val="00623F8F"/>
    <w:rsid w:val="00624079"/>
    <w:rsid w:val="006249C0"/>
    <w:rsid w:val="00624E7F"/>
    <w:rsid w:val="00625332"/>
    <w:rsid w:val="006255AB"/>
    <w:rsid w:val="006260EC"/>
    <w:rsid w:val="00626E42"/>
    <w:rsid w:val="006272A4"/>
    <w:rsid w:val="006273F9"/>
    <w:rsid w:val="00627865"/>
    <w:rsid w:val="00630755"/>
    <w:rsid w:val="00630B10"/>
    <w:rsid w:val="00631115"/>
    <w:rsid w:val="00631A9A"/>
    <w:rsid w:val="00631AC7"/>
    <w:rsid w:val="00631E1A"/>
    <w:rsid w:val="0063365E"/>
    <w:rsid w:val="00633ADC"/>
    <w:rsid w:val="00634758"/>
    <w:rsid w:val="00635E58"/>
    <w:rsid w:val="00635F60"/>
    <w:rsid w:val="006369E8"/>
    <w:rsid w:val="006371D8"/>
    <w:rsid w:val="006378F7"/>
    <w:rsid w:val="00640A86"/>
    <w:rsid w:val="00641203"/>
    <w:rsid w:val="006419BE"/>
    <w:rsid w:val="00641EF6"/>
    <w:rsid w:val="00643216"/>
    <w:rsid w:val="006435DB"/>
    <w:rsid w:val="00644763"/>
    <w:rsid w:val="00645072"/>
    <w:rsid w:val="00646393"/>
    <w:rsid w:val="006463A1"/>
    <w:rsid w:val="00646419"/>
    <w:rsid w:val="00646BA7"/>
    <w:rsid w:val="00647376"/>
    <w:rsid w:val="00647854"/>
    <w:rsid w:val="006511F8"/>
    <w:rsid w:val="006514A0"/>
    <w:rsid w:val="006514FE"/>
    <w:rsid w:val="00651850"/>
    <w:rsid w:val="00651EAF"/>
    <w:rsid w:val="00652BB9"/>
    <w:rsid w:val="00652C0C"/>
    <w:rsid w:val="006534EB"/>
    <w:rsid w:val="00653C9A"/>
    <w:rsid w:val="00653E3F"/>
    <w:rsid w:val="00653E67"/>
    <w:rsid w:val="00654175"/>
    <w:rsid w:val="0065448D"/>
    <w:rsid w:val="0065476E"/>
    <w:rsid w:val="00654885"/>
    <w:rsid w:val="00655F52"/>
    <w:rsid w:val="006562D2"/>
    <w:rsid w:val="006567D6"/>
    <w:rsid w:val="00656BFF"/>
    <w:rsid w:val="00656DC2"/>
    <w:rsid w:val="00656F15"/>
    <w:rsid w:val="0065715C"/>
    <w:rsid w:val="00657B6F"/>
    <w:rsid w:val="00660A7B"/>
    <w:rsid w:val="00660BE9"/>
    <w:rsid w:val="00660BF9"/>
    <w:rsid w:val="0066184C"/>
    <w:rsid w:val="00661D59"/>
    <w:rsid w:val="0066256C"/>
    <w:rsid w:val="00662A54"/>
    <w:rsid w:val="0066304E"/>
    <w:rsid w:val="0066368B"/>
    <w:rsid w:val="006636FD"/>
    <w:rsid w:val="00663C15"/>
    <w:rsid w:val="0066453B"/>
    <w:rsid w:val="00664F8A"/>
    <w:rsid w:val="006656CA"/>
    <w:rsid w:val="00665A25"/>
    <w:rsid w:val="00666CA8"/>
    <w:rsid w:val="00666D41"/>
    <w:rsid w:val="00670F24"/>
    <w:rsid w:val="006724EB"/>
    <w:rsid w:val="006736BF"/>
    <w:rsid w:val="00673779"/>
    <w:rsid w:val="00673B4D"/>
    <w:rsid w:val="006742E0"/>
    <w:rsid w:val="00676188"/>
    <w:rsid w:val="00676250"/>
    <w:rsid w:val="00676434"/>
    <w:rsid w:val="00676605"/>
    <w:rsid w:val="00676704"/>
    <w:rsid w:val="00676BC9"/>
    <w:rsid w:val="00676D1A"/>
    <w:rsid w:val="00677774"/>
    <w:rsid w:val="00681A97"/>
    <w:rsid w:val="006839E7"/>
    <w:rsid w:val="006857D7"/>
    <w:rsid w:val="006857FD"/>
    <w:rsid w:val="00685C89"/>
    <w:rsid w:val="00685D0D"/>
    <w:rsid w:val="006905C3"/>
    <w:rsid w:val="00690E55"/>
    <w:rsid w:val="00690F58"/>
    <w:rsid w:val="00690FDC"/>
    <w:rsid w:val="006915F4"/>
    <w:rsid w:val="006919DA"/>
    <w:rsid w:val="0069235F"/>
    <w:rsid w:val="00692DCF"/>
    <w:rsid w:val="00692F2E"/>
    <w:rsid w:val="00693D8A"/>
    <w:rsid w:val="00694463"/>
    <w:rsid w:val="006948FB"/>
    <w:rsid w:val="00694EBC"/>
    <w:rsid w:val="00694F35"/>
    <w:rsid w:val="00695B54"/>
    <w:rsid w:val="00695CD6"/>
    <w:rsid w:val="00696EE7"/>
    <w:rsid w:val="00697E7B"/>
    <w:rsid w:val="006A183A"/>
    <w:rsid w:val="006A19DC"/>
    <w:rsid w:val="006A26F8"/>
    <w:rsid w:val="006A2CE6"/>
    <w:rsid w:val="006A4888"/>
    <w:rsid w:val="006A4AB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37B0"/>
    <w:rsid w:val="006C3B64"/>
    <w:rsid w:val="006C4134"/>
    <w:rsid w:val="006C5224"/>
    <w:rsid w:val="006C5A4A"/>
    <w:rsid w:val="006C5BD9"/>
    <w:rsid w:val="006C603B"/>
    <w:rsid w:val="006C628B"/>
    <w:rsid w:val="006C62B8"/>
    <w:rsid w:val="006C6468"/>
    <w:rsid w:val="006C64E9"/>
    <w:rsid w:val="006C68E9"/>
    <w:rsid w:val="006C6B6C"/>
    <w:rsid w:val="006C7087"/>
    <w:rsid w:val="006C719D"/>
    <w:rsid w:val="006C78D1"/>
    <w:rsid w:val="006C79E3"/>
    <w:rsid w:val="006D0679"/>
    <w:rsid w:val="006D1925"/>
    <w:rsid w:val="006D197F"/>
    <w:rsid w:val="006D21F6"/>
    <w:rsid w:val="006D285A"/>
    <w:rsid w:val="006D3249"/>
    <w:rsid w:val="006D3417"/>
    <w:rsid w:val="006D381F"/>
    <w:rsid w:val="006D4753"/>
    <w:rsid w:val="006D523E"/>
    <w:rsid w:val="006D58EF"/>
    <w:rsid w:val="006D59C8"/>
    <w:rsid w:val="006D5E45"/>
    <w:rsid w:val="006D6679"/>
    <w:rsid w:val="006D77E3"/>
    <w:rsid w:val="006D7A29"/>
    <w:rsid w:val="006D7A83"/>
    <w:rsid w:val="006E029D"/>
    <w:rsid w:val="006E05E4"/>
    <w:rsid w:val="006E09CB"/>
    <w:rsid w:val="006E0EA9"/>
    <w:rsid w:val="006E12C2"/>
    <w:rsid w:val="006E2300"/>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37F2"/>
    <w:rsid w:val="006F39FD"/>
    <w:rsid w:val="006F3E69"/>
    <w:rsid w:val="006F61E9"/>
    <w:rsid w:val="006F65BD"/>
    <w:rsid w:val="006F694A"/>
    <w:rsid w:val="006F6E6D"/>
    <w:rsid w:val="006F7155"/>
    <w:rsid w:val="006F796C"/>
    <w:rsid w:val="006F7D1D"/>
    <w:rsid w:val="007000FA"/>
    <w:rsid w:val="00700559"/>
    <w:rsid w:val="00700C6F"/>
    <w:rsid w:val="00701C4A"/>
    <w:rsid w:val="00703133"/>
    <w:rsid w:val="0070331C"/>
    <w:rsid w:val="0070422F"/>
    <w:rsid w:val="00704607"/>
    <w:rsid w:val="00704C27"/>
    <w:rsid w:val="007057DF"/>
    <w:rsid w:val="00705E9F"/>
    <w:rsid w:val="007061AF"/>
    <w:rsid w:val="00707218"/>
    <w:rsid w:val="00707549"/>
    <w:rsid w:val="00707FB3"/>
    <w:rsid w:val="0071086C"/>
    <w:rsid w:val="00710C32"/>
    <w:rsid w:val="00710D8C"/>
    <w:rsid w:val="007111D4"/>
    <w:rsid w:val="00711492"/>
    <w:rsid w:val="0071290F"/>
    <w:rsid w:val="00712E1C"/>
    <w:rsid w:val="0071321F"/>
    <w:rsid w:val="007133CF"/>
    <w:rsid w:val="0071421E"/>
    <w:rsid w:val="007143F7"/>
    <w:rsid w:val="007144D9"/>
    <w:rsid w:val="0071459B"/>
    <w:rsid w:val="00714717"/>
    <w:rsid w:val="0071499B"/>
    <w:rsid w:val="00714D3B"/>
    <w:rsid w:val="00715235"/>
    <w:rsid w:val="007168E1"/>
    <w:rsid w:val="00716A8F"/>
    <w:rsid w:val="00717596"/>
    <w:rsid w:val="00717917"/>
    <w:rsid w:val="0072033C"/>
    <w:rsid w:val="0072070B"/>
    <w:rsid w:val="00720DB1"/>
    <w:rsid w:val="00720DB5"/>
    <w:rsid w:val="00720EFF"/>
    <w:rsid w:val="00720F19"/>
    <w:rsid w:val="0072222C"/>
    <w:rsid w:val="0072256D"/>
    <w:rsid w:val="00723D42"/>
    <w:rsid w:val="007241D2"/>
    <w:rsid w:val="00724931"/>
    <w:rsid w:val="00725312"/>
    <w:rsid w:val="00725A8C"/>
    <w:rsid w:val="0072636C"/>
    <w:rsid w:val="007267C5"/>
    <w:rsid w:val="0072689B"/>
    <w:rsid w:val="00726CE7"/>
    <w:rsid w:val="007273F1"/>
    <w:rsid w:val="007275C9"/>
    <w:rsid w:val="007279D0"/>
    <w:rsid w:val="00727FD3"/>
    <w:rsid w:val="0073034E"/>
    <w:rsid w:val="007307D5"/>
    <w:rsid w:val="00731378"/>
    <w:rsid w:val="00732ACC"/>
    <w:rsid w:val="00733432"/>
    <w:rsid w:val="00733594"/>
    <w:rsid w:val="00734876"/>
    <w:rsid w:val="00734D29"/>
    <w:rsid w:val="007352EA"/>
    <w:rsid w:val="007354F7"/>
    <w:rsid w:val="00735DA7"/>
    <w:rsid w:val="00737676"/>
    <w:rsid w:val="00737C1F"/>
    <w:rsid w:val="00740856"/>
    <w:rsid w:val="00740D30"/>
    <w:rsid w:val="00741203"/>
    <w:rsid w:val="0074149B"/>
    <w:rsid w:val="00741FED"/>
    <w:rsid w:val="007422FC"/>
    <w:rsid w:val="00742CE9"/>
    <w:rsid w:val="00743169"/>
    <w:rsid w:val="00743A30"/>
    <w:rsid w:val="00743C76"/>
    <w:rsid w:val="00743D16"/>
    <w:rsid w:val="00744488"/>
    <w:rsid w:val="0074459D"/>
    <w:rsid w:val="00746148"/>
    <w:rsid w:val="007461E7"/>
    <w:rsid w:val="00746272"/>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EAD"/>
    <w:rsid w:val="007560D9"/>
    <w:rsid w:val="00756436"/>
    <w:rsid w:val="007566D4"/>
    <w:rsid w:val="00756E72"/>
    <w:rsid w:val="00756FA5"/>
    <w:rsid w:val="00757093"/>
    <w:rsid w:val="00757F36"/>
    <w:rsid w:val="007606A4"/>
    <w:rsid w:val="0076093F"/>
    <w:rsid w:val="0076122A"/>
    <w:rsid w:val="00762E07"/>
    <w:rsid w:val="00762E86"/>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11A2"/>
    <w:rsid w:val="00771436"/>
    <w:rsid w:val="0077146E"/>
    <w:rsid w:val="00771B0E"/>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506A"/>
    <w:rsid w:val="00785489"/>
    <w:rsid w:val="00785625"/>
    <w:rsid w:val="00785932"/>
    <w:rsid w:val="0078630A"/>
    <w:rsid w:val="00786A2F"/>
    <w:rsid w:val="00786B4C"/>
    <w:rsid w:val="0079031B"/>
    <w:rsid w:val="00790D2B"/>
    <w:rsid w:val="00790D6E"/>
    <w:rsid w:val="00790D94"/>
    <w:rsid w:val="007916A0"/>
    <w:rsid w:val="00791CAD"/>
    <w:rsid w:val="00791FB4"/>
    <w:rsid w:val="00792220"/>
    <w:rsid w:val="00792EAA"/>
    <w:rsid w:val="007930F4"/>
    <w:rsid w:val="0079418E"/>
    <w:rsid w:val="0079490C"/>
    <w:rsid w:val="00794EC4"/>
    <w:rsid w:val="007955A0"/>
    <w:rsid w:val="00795EAB"/>
    <w:rsid w:val="00796387"/>
    <w:rsid w:val="007965E2"/>
    <w:rsid w:val="00796B3C"/>
    <w:rsid w:val="00797C92"/>
    <w:rsid w:val="007A1281"/>
    <w:rsid w:val="007A14DC"/>
    <w:rsid w:val="007A15A6"/>
    <w:rsid w:val="007A1C7C"/>
    <w:rsid w:val="007A1E79"/>
    <w:rsid w:val="007A22E2"/>
    <w:rsid w:val="007A26B2"/>
    <w:rsid w:val="007A2A9D"/>
    <w:rsid w:val="007A3712"/>
    <w:rsid w:val="007A37E0"/>
    <w:rsid w:val="007A3AA3"/>
    <w:rsid w:val="007A4212"/>
    <w:rsid w:val="007A4B87"/>
    <w:rsid w:val="007A57DF"/>
    <w:rsid w:val="007A5F38"/>
    <w:rsid w:val="007A6145"/>
    <w:rsid w:val="007B0530"/>
    <w:rsid w:val="007B0855"/>
    <w:rsid w:val="007B08DE"/>
    <w:rsid w:val="007B0DA8"/>
    <w:rsid w:val="007B1570"/>
    <w:rsid w:val="007B191B"/>
    <w:rsid w:val="007B1A2C"/>
    <w:rsid w:val="007B258F"/>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C00FF"/>
    <w:rsid w:val="007C0374"/>
    <w:rsid w:val="007C0519"/>
    <w:rsid w:val="007C0560"/>
    <w:rsid w:val="007C0798"/>
    <w:rsid w:val="007C15C0"/>
    <w:rsid w:val="007C1787"/>
    <w:rsid w:val="007C3844"/>
    <w:rsid w:val="007C3945"/>
    <w:rsid w:val="007C4848"/>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788"/>
    <w:rsid w:val="007D5796"/>
    <w:rsid w:val="007D60A2"/>
    <w:rsid w:val="007D699F"/>
    <w:rsid w:val="007E0D70"/>
    <w:rsid w:val="007E1185"/>
    <w:rsid w:val="007E13A9"/>
    <w:rsid w:val="007E18E8"/>
    <w:rsid w:val="007E25B0"/>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733"/>
    <w:rsid w:val="007F1FCD"/>
    <w:rsid w:val="007F26B9"/>
    <w:rsid w:val="007F384A"/>
    <w:rsid w:val="007F3DF1"/>
    <w:rsid w:val="007F418B"/>
    <w:rsid w:val="007F4327"/>
    <w:rsid w:val="007F4462"/>
    <w:rsid w:val="007F47DD"/>
    <w:rsid w:val="007F5091"/>
    <w:rsid w:val="007F7065"/>
    <w:rsid w:val="007F74A8"/>
    <w:rsid w:val="007F7CAB"/>
    <w:rsid w:val="0080075F"/>
    <w:rsid w:val="00800B17"/>
    <w:rsid w:val="00800F9C"/>
    <w:rsid w:val="00801623"/>
    <w:rsid w:val="00801854"/>
    <w:rsid w:val="00801D72"/>
    <w:rsid w:val="00801DCF"/>
    <w:rsid w:val="00801F71"/>
    <w:rsid w:val="008021D3"/>
    <w:rsid w:val="008022A2"/>
    <w:rsid w:val="008028B8"/>
    <w:rsid w:val="008028C8"/>
    <w:rsid w:val="00802AD3"/>
    <w:rsid w:val="0080342D"/>
    <w:rsid w:val="008039FD"/>
    <w:rsid w:val="00803E26"/>
    <w:rsid w:val="00805A4A"/>
    <w:rsid w:val="00805D62"/>
    <w:rsid w:val="00806818"/>
    <w:rsid w:val="00806B82"/>
    <w:rsid w:val="00807600"/>
    <w:rsid w:val="00807D11"/>
    <w:rsid w:val="008107BC"/>
    <w:rsid w:val="00812055"/>
    <w:rsid w:val="0081237C"/>
    <w:rsid w:val="00812A56"/>
    <w:rsid w:val="00812BE2"/>
    <w:rsid w:val="00813039"/>
    <w:rsid w:val="00813774"/>
    <w:rsid w:val="00813AE8"/>
    <w:rsid w:val="0081433B"/>
    <w:rsid w:val="00815970"/>
    <w:rsid w:val="00815C32"/>
    <w:rsid w:val="00816881"/>
    <w:rsid w:val="00816E31"/>
    <w:rsid w:val="00816F4C"/>
    <w:rsid w:val="008173D9"/>
    <w:rsid w:val="00817A1A"/>
    <w:rsid w:val="00817E9A"/>
    <w:rsid w:val="008200FC"/>
    <w:rsid w:val="008201AF"/>
    <w:rsid w:val="00820C9E"/>
    <w:rsid w:val="008214DF"/>
    <w:rsid w:val="008217CB"/>
    <w:rsid w:val="00821F21"/>
    <w:rsid w:val="00822F0C"/>
    <w:rsid w:val="00823F89"/>
    <w:rsid w:val="0082426A"/>
    <w:rsid w:val="00824313"/>
    <w:rsid w:val="008248DC"/>
    <w:rsid w:val="00824EDF"/>
    <w:rsid w:val="00825079"/>
    <w:rsid w:val="00825102"/>
    <w:rsid w:val="008258DF"/>
    <w:rsid w:val="00825D50"/>
    <w:rsid w:val="00825DC3"/>
    <w:rsid w:val="00825F7F"/>
    <w:rsid w:val="00826F8D"/>
    <w:rsid w:val="008270CC"/>
    <w:rsid w:val="008274DE"/>
    <w:rsid w:val="0082779E"/>
    <w:rsid w:val="00827A19"/>
    <w:rsid w:val="0083087A"/>
    <w:rsid w:val="00830D9E"/>
    <w:rsid w:val="00831484"/>
    <w:rsid w:val="00831919"/>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2062"/>
    <w:rsid w:val="00842112"/>
    <w:rsid w:val="00842734"/>
    <w:rsid w:val="0084280D"/>
    <w:rsid w:val="00842BAB"/>
    <w:rsid w:val="0084301D"/>
    <w:rsid w:val="00843020"/>
    <w:rsid w:val="008432E9"/>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32B3"/>
    <w:rsid w:val="008532CF"/>
    <w:rsid w:val="00853855"/>
    <w:rsid w:val="00855314"/>
    <w:rsid w:val="008558AD"/>
    <w:rsid w:val="00856333"/>
    <w:rsid w:val="0085653C"/>
    <w:rsid w:val="008567AD"/>
    <w:rsid w:val="008576D1"/>
    <w:rsid w:val="00857C6B"/>
    <w:rsid w:val="00857FD5"/>
    <w:rsid w:val="00860252"/>
    <w:rsid w:val="008616A1"/>
    <w:rsid w:val="008616DF"/>
    <w:rsid w:val="00861BC5"/>
    <w:rsid w:val="00862A5C"/>
    <w:rsid w:val="0086318C"/>
    <w:rsid w:val="0086355A"/>
    <w:rsid w:val="00863644"/>
    <w:rsid w:val="00863688"/>
    <w:rsid w:val="008638AB"/>
    <w:rsid w:val="00864055"/>
    <w:rsid w:val="008649FD"/>
    <w:rsid w:val="00865213"/>
    <w:rsid w:val="00865229"/>
    <w:rsid w:val="0086541A"/>
    <w:rsid w:val="00865801"/>
    <w:rsid w:val="00865D82"/>
    <w:rsid w:val="00866383"/>
    <w:rsid w:val="00866488"/>
    <w:rsid w:val="00867319"/>
    <w:rsid w:val="0086774A"/>
    <w:rsid w:val="00867BD2"/>
    <w:rsid w:val="00867D1C"/>
    <w:rsid w:val="00867D6D"/>
    <w:rsid w:val="00870230"/>
    <w:rsid w:val="00870D75"/>
    <w:rsid w:val="00870F73"/>
    <w:rsid w:val="0087105A"/>
    <w:rsid w:val="008710F3"/>
    <w:rsid w:val="008712B2"/>
    <w:rsid w:val="00871671"/>
    <w:rsid w:val="00871DE3"/>
    <w:rsid w:val="00872264"/>
    <w:rsid w:val="0087350A"/>
    <w:rsid w:val="00873562"/>
    <w:rsid w:val="0087599D"/>
    <w:rsid w:val="00875B5E"/>
    <w:rsid w:val="008766AA"/>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A84"/>
    <w:rsid w:val="008A30EE"/>
    <w:rsid w:val="008A35D7"/>
    <w:rsid w:val="008A3805"/>
    <w:rsid w:val="008A434A"/>
    <w:rsid w:val="008A4C83"/>
    <w:rsid w:val="008A6E05"/>
    <w:rsid w:val="008A75CD"/>
    <w:rsid w:val="008A7CF2"/>
    <w:rsid w:val="008B033F"/>
    <w:rsid w:val="008B0649"/>
    <w:rsid w:val="008B0BF5"/>
    <w:rsid w:val="008B0F8E"/>
    <w:rsid w:val="008B160F"/>
    <w:rsid w:val="008B17B8"/>
    <w:rsid w:val="008B1B03"/>
    <w:rsid w:val="008B1DA7"/>
    <w:rsid w:val="008B201F"/>
    <w:rsid w:val="008B23C4"/>
    <w:rsid w:val="008B2EFE"/>
    <w:rsid w:val="008B39EF"/>
    <w:rsid w:val="008B5101"/>
    <w:rsid w:val="008B55AC"/>
    <w:rsid w:val="008B5A56"/>
    <w:rsid w:val="008B6553"/>
    <w:rsid w:val="008B6B3F"/>
    <w:rsid w:val="008B7838"/>
    <w:rsid w:val="008B7A64"/>
    <w:rsid w:val="008B7DAA"/>
    <w:rsid w:val="008C00F3"/>
    <w:rsid w:val="008C078B"/>
    <w:rsid w:val="008C07CC"/>
    <w:rsid w:val="008C0FEC"/>
    <w:rsid w:val="008C1115"/>
    <w:rsid w:val="008C11FF"/>
    <w:rsid w:val="008C1734"/>
    <w:rsid w:val="008C173A"/>
    <w:rsid w:val="008C1780"/>
    <w:rsid w:val="008C2DD5"/>
    <w:rsid w:val="008C325B"/>
    <w:rsid w:val="008C36B4"/>
    <w:rsid w:val="008C3DCB"/>
    <w:rsid w:val="008C43AD"/>
    <w:rsid w:val="008C5936"/>
    <w:rsid w:val="008C5FD6"/>
    <w:rsid w:val="008C6888"/>
    <w:rsid w:val="008C696E"/>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660F"/>
    <w:rsid w:val="008D71FF"/>
    <w:rsid w:val="008D7DBF"/>
    <w:rsid w:val="008E0108"/>
    <w:rsid w:val="008E0768"/>
    <w:rsid w:val="008E0A2C"/>
    <w:rsid w:val="008E0E2D"/>
    <w:rsid w:val="008E1CB1"/>
    <w:rsid w:val="008E321C"/>
    <w:rsid w:val="008E3331"/>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F0157"/>
    <w:rsid w:val="008F0CD9"/>
    <w:rsid w:val="008F0D1E"/>
    <w:rsid w:val="008F0FC4"/>
    <w:rsid w:val="008F1AC5"/>
    <w:rsid w:val="008F1B27"/>
    <w:rsid w:val="008F1F7A"/>
    <w:rsid w:val="008F2686"/>
    <w:rsid w:val="008F271A"/>
    <w:rsid w:val="008F2738"/>
    <w:rsid w:val="008F27A8"/>
    <w:rsid w:val="008F2C75"/>
    <w:rsid w:val="008F302D"/>
    <w:rsid w:val="008F39CA"/>
    <w:rsid w:val="008F3F43"/>
    <w:rsid w:val="008F464C"/>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B09"/>
    <w:rsid w:val="00906B0D"/>
    <w:rsid w:val="00907229"/>
    <w:rsid w:val="009077C9"/>
    <w:rsid w:val="00907935"/>
    <w:rsid w:val="009100F3"/>
    <w:rsid w:val="009105E7"/>
    <w:rsid w:val="009117CF"/>
    <w:rsid w:val="00912AAB"/>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28BC"/>
    <w:rsid w:val="00922C8D"/>
    <w:rsid w:val="009237A3"/>
    <w:rsid w:val="009240C5"/>
    <w:rsid w:val="00924562"/>
    <w:rsid w:val="009245E9"/>
    <w:rsid w:val="00924C45"/>
    <w:rsid w:val="00924D1B"/>
    <w:rsid w:val="00924DB9"/>
    <w:rsid w:val="009259A6"/>
    <w:rsid w:val="009266E9"/>
    <w:rsid w:val="00926B00"/>
    <w:rsid w:val="00926BA2"/>
    <w:rsid w:val="00926C02"/>
    <w:rsid w:val="009303A8"/>
    <w:rsid w:val="009307BA"/>
    <w:rsid w:val="009307F2"/>
    <w:rsid w:val="0093098E"/>
    <w:rsid w:val="00930BC7"/>
    <w:rsid w:val="00930FE5"/>
    <w:rsid w:val="00931EED"/>
    <w:rsid w:val="00932414"/>
    <w:rsid w:val="009325CB"/>
    <w:rsid w:val="00934052"/>
    <w:rsid w:val="009341FA"/>
    <w:rsid w:val="009342AF"/>
    <w:rsid w:val="009344DF"/>
    <w:rsid w:val="00934959"/>
    <w:rsid w:val="00934CE7"/>
    <w:rsid w:val="00935CD1"/>
    <w:rsid w:val="00935D55"/>
    <w:rsid w:val="0093607B"/>
    <w:rsid w:val="009364C9"/>
    <w:rsid w:val="00936D50"/>
    <w:rsid w:val="009379E6"/>
    <w:rsid w:val="00937BDD"/>
    <w:rsid w:val="00941152"/>
    <w:rsid w:val="00941257"/>
    <w:rsid w:val="009412DA"/>
    <w:rsid w:val="00941924"/>
    <w:rsid w:val="00942BA2"/>
    <w:rsid w:val="00942F93"/>
    <w:rsid w:val="00943E5E"/>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756"/>
    <w:rsid w:val="0095477F"/>
    <w:rsid w:val="00955AC8"/>
    <w:rsid w:val="00955FB8"/>
    <w:rsid w:val="00957827"/>
    <w:rsid w:val="00957BC5"/>
    <w:rsid w:val="00957E9D"/>
    <w:rsid w:val="009608F0"/>
    <w:rsid w:val="0096122E"/>
    <w:rsid w:val="009619D6"/>
    <w:rsid w:val="00961BC3"/>
    <w:rsid w:val="00961E54"/>
    <w:rsid w:val="00961F0C"/>
    <w:rsid w:val="009620A9"/>
    <w:rsid w:val="009624DC"/>
    <w:rsid w:val="00962A01"/>
    <w:rsid w:val="00963B2A"/>
    <w:rsid w:val="00963C43"/>
    <w:rsid w:val="0096414B"/>
    <w:rsid w:val="00964A02"/>
    <w:rsid w:val="00965F84"/>
    <w:rsid w:val="00966763"/>
    <w:rsid w:val="00966898"/>
    <w:rsid w:val="00966CAB"/>
    <w:rsid w:val="00970165"/>
    <w:rsid w:val="0097047F"/>
    <w:rsid w:val="00970660"/>
    <w:rsid w:val="00970B2E"/>
    <w:rsid w:val="00970DED"/>
    <w:rsid w:val="00970FD0"/>
    <w:rsid w:val="00971ACA"/>
    <w:rsid w:val="009724CA"/>
    <w:rsid w:val="0097251D"/>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326A"/>
    <w:rsid w:val="009832E0"/>
    <w:rsid w:val="009836AB"/>
    <w:rsid w:val="00983951"/>
    <w:rsid w:val="00983F3D"/>
    <w:rsid w:val="00984121"/>
    <w:rsid w:val="00984A22"/>
    <w:rsid w:val="009865B6"/>
    <w:rsid w:val="00986A94"/>
    <w:rsid w:val="00986E7C"/>
    <w:rsid w:val="00990CDE"/>
    <w:rsid w:val="00990D9F"/>
    <w:rsid w:val="00990E20"/>
    <w:rsid w:val="00991F61"/>
    <w:rsid w:val="009920BF"/>
    <w:rsid w:val="0099243F"/>
    <w:rsid w:val="00992824"/>
    <w:rsid w:val="00992C72"/>
    <w:rsid w:val="00992D3A"/>
    <w:rsid w:val="00992E10"/>
    <w:rsid w:val="009948E5"/>
    <w:rsid w:val="009958B2"/>
    <w:rsid w:val="00995A2A"/>
    <w:rsid w:val="00997507"/>
    <w:rsid w:val="009A087C"/>
    <w:rsid w:val="009A1703"/>
    <w:rsid w:val="009A1B09"/>
    <w:rsid w:val="009A225E"/>
    <w:rsid w:val="009A2A20"/>
    <w:rsid w:val="009A2B30"/>
    <w:rsid w:val="009A2BEF"/>
    <w:rsid w:val="009A3943"/>
    <w:rsid w:val="009A3B3B"/>
    <w:rsid w:val="009A3C63"/>
    <w:rsid w:val="009A3FDE"/>
    <w:rsid w:val="009A47DE"/>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64C"/>
    <w:rsid w:val="009C3BCF"/>
    <w:rsid w:val="009C3F0F"/>
    <w:rsid w:val="009C4666"/>
    <w:rsid w:val="009C4F52"/>
    <w:rsid w:val="009C55A3"/>
    <w:rsid w:val="009C636C"/>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B3C"/>
    <w:rsid w:val="009E5CFA"/>
    <w:rsid w:val="009E6961"/>
    <w:rsid w:val="009E6FCF"/>
    <w:rsid w:val="009F0057"/>
    <w:rsid w:val="009F011F"/>
    <w:rsid w:val="009F019E"/>
    <w:rsid w:val="009F0BD9"/>
    <w:rsid w:val="009F1350"/>
    <w:rsid w:val="009F1C0E"/>
    <w:rsid w:val="009F1DF9"/>
    <w:rsid w:val="009F22CB"/>
    <w:rsid w:val="009F307D"/>
    <w:rsid w:val="009F37FE"/>
    <w:rsid w:val="009F39C1"/>
    <w:rsid w:val="009F4C0E"/>
    <w:rsid w:val="009F4EA5"/>
    <w:rsid w:val="009F4F08"/>
    <w:rsid w:val="009F530E"/>
    <w:rsid w:val="009F58C5"/>
    <w:rsid w:val="009F5CDD"/>
    <w:rsid w:val="009F711F"/>
    <w:rsid w:val="009F7550"/>
    <w:rsid w:val="00A006A7"/>
    <w:rsid w:val="00A010E7"/>
    <w:rsid w:val="00A0243A"/>
    <w:rsid w:val="00A0391E"/>
    <w:rsid w:val="00A03C1A"/>
    <w:rsid w:val="00A044BA"/>
    <w:rsid w:val="00A05750"/>
    <w:rsid w:val="00A0596B"/>
    <w:rsid w:val="00A0679C"/>
    <w:rsid w:val="00A07FA3"/>
    <w:rsid w:val="00A10038"/>
    <w:rsid w:val="00A100A7"/>
    <w:rsid w:val="00A103D2"/>
    <w:rsid w:val="00A10576"/>
    <w:rsid w:val="00A10670"/>
    <w:rsid w:val="00A108EC"/>
    <w:rsid w:val="00A10C6B"/>
    <w:rsid w:val="00A11800"/>
    <w:rsid w:val="00A118CF"/>
    <w:rsid w:val="00A11B72"/>
    <w:rsid w:val="00A120D9"/>
    <w:rsid w:val="00A122A5"/>
    <w:rsid w:val="00A1233D"/>
    <w:rsid w:val="00A1322F"/>
    <w:rsid w:val="00A132F9"/>
    <w:rsid w:val="00A141DF"/>
    <w:rsid w:val="00A1435C"/>
    <w:rsid w:val="00A14D21"/>
    <w:rsid w:val="00A15AF1"/>
    <w:rsid w:val="00A15CFE"/>
    <w:rsid w:val="00A1629F"/>
    <w:rsid w:val="00A1631D"/>
    <w:rsid w:val="00A177C4"/>
    <w:rsid w:val="00A178AD"/>
    <w:rsid w:val="00A17F3B"/>
    <w:rsid w:val="00A2021A"/>
    <w:rsid w:val="00A2097E"/>
    <w:rsid w:val="00A20BB1"/>
    <w:rsid w:val="00A21605"/>
    <w:rsid w:val="00A219E1"/>
    <w:rsid w:val="00A23047"/>
    <w:rsid w:val="00A23116"/>
    <w:rsid w:val="00A23A36"/>
    <w:rsid w:val="00A23B50"/>
    <w:rsid w:val="00A23EC0"/>
    <w:rsid w:val="00A241CB"/>
    <w:rsid w:val="00A245A3"/>
    <w:rsid w:val="00A24777"/>
    <w:rsid w:val="00A249C5"/>
    <w:rsid w:val="00A25716"/>
    <w:rsid w:val="00A25AE0"/>
    <w:rsid w:val="00A25C85"/>
    <w:rsid w:val="00A25E0B"/>
    <w:rsid w:val="00A2718F"/>
    <w:rsid w:val="00A27637"/>
    <w:rsid w:val="00A27AD7"/>
    <w:rsid w:val="00A30796"/>
    <w:rsid w:val="00A30874"/>
    <w:rsid w:val="00A30CF8"/>
    <w:rsid w:val="00A30F1B"/>
    <w:rsid w:val="00A30F77"/>
    <w:rsid w:val="00A310E1"/>
    <w:rsid w:val="00A31A53"/>
    <w:rsid w:val="00A32927"/>
    <w:rsid w:val="00A32E6E"/>
    <w:rsid w:val="00A335AC"/>
    <w:rsid w:val="00A3389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C"/>
    <w:rsid w:val="00A43EF5"/>
    <w:rsid w:val="00A4462C"/>
    <w:rsid w:val="00A447E4"/>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ED6"/>
    <w:rsid w:val="00A54BD7"/>
    <w:rsid w:val="00A55054"/>
    <w:rsid w:val="00A55A72"/>
    <w:rsid w:val="00A563C8"/>
    <w:rsid w:val="00A56546"/>
    <w:rsid w:val="00A56887"/>
    <w:rsid w:val="00A5697D"/>
    <w:rsid w:val="00A56FEB"/>
    <w:rsid w:val="00A575CE"/>
    <w:rsid w:val="00A577CC"/>
    <w:rsid w:val="00A57DD4"/>
    <w:rsid w:val="00A60255"/>
    <w:rsid w:val="00A613D9"/>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7004B"/>
    <w:rsid w:val="00A716BA"/>
    <w:rsid w:val="00A71977"/>
    <w:rsid w:val="00A71BB0"/>
    <w:rsid w:val="00A72534"/>
    <w:rsid w:val="00A7386E"/>
    <w:rsid w:val="00A73FCE"/>
    <w:rsid w:val="00A74286"/>
    <w:rsid w:val="00A7497C"/>
    <w:rsid w:val="00A74A8E"/>
    <w:rsid w:val="00A74D0C"/>
    <w:rsid w:val="00A752EA"/>
    <w:rsid w:val="00A7685E"/>
    <w:rsid w:val="00A76CA4"/>
    <w:rsid w:val="00A77663"/>
    <w:rsid w:val="00A77FDF"/>
    <w:rsid w:val="00A80165"/>
    <w:rsid w:val="00A801E1"/>
    <w:rsid w:val="00A804A7"/>
    <w:rsid w:val="00A805FD"/>
    <w:rsid w:val="00A808F7"/>
    <w:rsid w:val="00A809F7"/>
    <w:rsid w:val="00A80B44"/>
    <w:rsid w:val="00A816FD"/>
    <w:rsid w:val="00A81C7A"/>
    <w:rsid w:val="00A8273A"/>
    <w:rsid w:val="00A82948"/>
    <w:rsid w:val="00A82CA1"/>
    <w:rsid w:val="00A83171"/>
    <w:rsid w:val="00A83CE3"/>
    <w:rsid w:val="00A83DD8"/>
    <w:rsid w:val="00A8402F"/>
    <w:rsid w:val="00A840EF"/>
    <w:rsid w:val="00A8415E"/>
    <w:rsid w:val="00A842F3"/>
    <w:rsid w:val="00A849EF"/>
    <w:rsid w:val="00A85E75"/>
    <w:rsid w:val="00A9029F"/>
    <w:rsid w:val="00A90988"/>
    <w:rsid w:val="00A91143"/>
    <w:rsid w:val="00A916B6"/>
    <w:rsid w:val="00A9185D"/>
    <w:rsid w:val="00A919E4"/>
    <w:rsid w:val="00A92431"/>
    <w:rsid w:val="00A9284D"/>
    <w:rsid w:val="00A92FD9"/>
    <w:rsid w:val="00A93D96"/>
    <w:rsid w:val="00A93EBD"/>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F52"/>
    <w:rsid w:val="00AA2F74"/>
    <w:rsid w:val="00AA46FC"/>
    <w:rsid w:val="00AA5547"/>
    <w:rsid w:val="00AA5876"/>
    <w:rsid w:val="00AA6782"/>
    <w:rsid w:val="00AA68ED"/>
    <w:rsid w:val="00AA6DC9"/>
    <w:rsid w:val="00AA6E60"/>
    <w:rsid w:val="00AA76F3"/>
    <w:rsid w:val="00AA778E"/>
    <w:rsid w:val="00AB0257"/>
    <w:rsid w:val="00AB1431"/>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EE"/>
    <w:rsid w:val="00AB69F2"/>
    <w:rsid w:val="00AB6BC9"/>
    <w:rsid w:val="00AB6EC3"/>
    <w:rsid w:val="00AB766C"/>
    <w:rsid w:val="00AC00A6"/>
    <w:rsid w:val="00AC0776"/>
    <w:rsid w:val="00AC14DC"/>
    <w:rsid w:val="00AC1859"/>
    <w:rsid w:val="00AC18A6"/>
    <w:rsid w:val="00AC1AF2"/>
    <w:rsid w:val="00AC1B2D"/>
    <w:rsid w:val="00AC1E03"/>
    <w:rsid w:val="00AC267B"/>
    <w:rsid w:val="00AC2B1A"/>
    <w:rsid w:val="00AC30AE"/>
    <w:rsid w:val="00AC3FDD"/>
    <w:rsid w:val="00AC4430"/>
    <w:rsid w:val="00AC4646"/>
    <w:rsid w:val="00AC5BEA"/>
    <w:rsid w:val="00AC603C"/>
    <w:rsid w:val="00AC6A0C"/>
    <w:rsid w:val="00AC6ADA"/>
    <w:rsid w:val="00AC6C33"/>
    <w:rsid w:val="00AC6D4A"/>
    <w:rsid w:val="00AC6ECA"/>
    <w:rsid w:val="00AC76A4"/>
    <w:rsid w:val="00AC7E0A"/>
    <w:rsid w:val="00AD036B"/>
    <w:rsid w:val="00AD0A85"/>
    <w:rsid w:val="00AD0E3F"/>
    <w:rsid w:val="00AD2CA0"/>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20A8"/>
    <w:rsid w:val="00AE289E"/>
    <w:rsid w:val="00AE2C3D"/>
    <w:rsid w:val="00AE3521"/>
    <w:rsid w:val="00AE387F"/>
    <w:rsid w:val="00AE3A2B"/>
    <w:rsid w:val="00AE4239"/>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3A30"/>
    <w:rsid w:val="00AF3B68"/>
    <w:rsid w:val="00AF6DAC"/>
    <w:rsid w:val="00AF7DFC"/>
    <w:rsid w:val="00B00120"/>
    <w:rsid w:val="00B00BB4"/>
    <w:rsid w:val="00B00BF2"/>
    <w:rsid w:val="00B00E64"/>
    <w:rsid w:val="00B01437"/>
    <w:rsid w:val="00B01D4F"/>
    <w:rsid w:val="00B01E7F"/>
    <w:rsid w:val="00B02125"/>
    <w:rsid w:val="00B0220E"/>
    <w:rsid w:val="00B028D4"/>
    <w:rsid w:val="00B02F9F"/>
    <w:rsid w:val="00B05AE2"/>
    <w:rsid w:val="00B0711B"/>
    <w:rsid w:val="00B0760D"/>
    <w:rsid w:val="00B10011"/>
    <w:rsid w:val="00B1038F"/>
    <w:rsid w:val="00B106BD"/>
    <w:rsid w:val="00B10D33"/>
    <w:rsid w:val="00B11B4E"/>
    <w:rsid w:val="00B12ED2"/>
    <w:rsid w:val="00B1315A"/>
    <w:rsid w:val="00B134F1"/>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CA5"/>
    <w:rsid w:val="00B32528"/>
    <w:rsid w:val="00B32A66"/>
    <w:rsid w:val="00B33AF5"/>
    <w:rsid w:val="00B345FA"/>
    <w:rsid w:val="00B3515D"/>
    <w:rsid w:val="00B35A26"/>
    <w:rsid w:val="00B3619A"/>
    <w:rsid w:val="00B365F8"/>
    <w:rsid w:val="00B369CF"/>
    <w:rsid w:val="00B37579"/>
    <w:rsid w:val="00B4049E"/>
    <w:rsid w:val="00B40E72"/>
    <w:rsid w:val="00B416C2"/>
    <w:rsid w:val="00B42075"/>
    <w:rsid w:val="00B420F0"/>
    <w:rsid w:val="00B4328C"/>
    <w:rsid w:val="00B43406"/>
    <w:rsid w:val="00B4526C"/>
    <w:rsid w:val="00B45509"/>
    <w:rsid w:val="00B46123"/>
    <w:rsid w:val="00B46705"/>
    <w:rsid w:val="00B46762"/>
    <w:rsid w:val="00B46C57"/>
    <w:rsid w:val="00B47202"/>
    <w:rsid w:val="00B47D7C"/>
    <w:rsid w:val="00B50555"/>
    <w:rsid w:val="00B51D31"/>
    <w:rsid w:val="00B528FF"/>
    <w:rsid w:val="00B529BC"/>
    <w:rsid w:val="00B52CF3"/>
    <w:rsid w:val="00B53A20"/>
    <w:rsid w:val="00B5503A"/>
    <w:rsid w:val="00B5517B"/>
    <w:rsid w:val="00B55B5B"/>
    <w:rsid w:val="00B573AB"/>
    <w:rsid w:val="00B579BE"/>
    <w:rsid w:val="00B57A02"/>
    <w:rsid w:val="00B6020B"/>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70417"/>
    <w:rsid w:val="00B7051B"/>
    <w:rsid w:val="00B71EBC"/>
    <w:rsid w:val="00B72EAB"/>
    <w:rsid w:val="00B72EC9"/>
    <w:rsid w:val="00B72F97"/>
    <w:rsid w:val="00B7394D"/>
    <w:rsid w:val="00B74E31"/>
    <w:rsid w:val="00B7528A"/>
    <w:rsid w:val="00B75673"/>
    <w:rsid w:val="00B75CC5"/>
    <w:rsid w:val="00B76697"/>
    <w:rsid w:val="00B76D90"/>
    <w:rsid w:val="00B76E4C"/>
    <w:rsid w:val="00B77083"/>
    <w:rsid w:val="00B77B42"/>
    <w:rsid w:val="00B77C82"/>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794"/>
    <w:rsid w:val="00B94A57"/>
    <w:rsid w:val="00B9572A"/>
    <w:rsid w:val="00B95A88"/>
    <w:rsid w:val="00B95D65"/>
    <w:rsid w:val="00B967F2"/>
    <w:rsid w:val="00B969CB"/>
    <w:rsid w:val="00B97E5E"/>
    <w:rsid w:val="00B97EAB"/>
    <w:rsid w:val="00BA0384"/>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1420"/>
    <w:rsid w:val="00BC2BB6"/>
    <w:rsid w:val="00BC31BE"/>
    <w:rsid w:val="00BC35BB"/>
    <w:rsid w:val="00BC453A"/>
    <w:rsid w:val="00BC4BE8"/>
    <w:rsid w:val="00BC4D53"/>
    <w:rsid w:val="00BC59FD"/>
    <w:rsid w:val="00BC5C42"/>
    <w:rsid w:val="00BC6091"/>
    <w:rsid w:val="00BC656E"/>
    <w:rsid w:val="00BC695E"/>
    <w:rsid w:val="00BC730C"/>
    <w:rsid w:val="00BC737E"/>
    <w:rsid w:val="00BC758E"/>
    <w:rsid w:val="00BC7EBD"/>
    <w:rsid w:val="00BD0068"/>
    <w:rsid w:val="00BD0912"/>
    <w:rsid w:val="00BD0C65"/>
    <w:rsid w:val="00BD12A6"/>
    <w:rsid w:val="00BD180F"/>
    <w:rsid w:val="00BD1FDC"/>
    <w:rsid w:val="00BD22AF"/>
    <w:rsid w:val="00BD25B8"/>
    <w:rsid w:val="00BD460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CAC"/>
    <w:rsid w:val="00BF2E2B"/>
    <w:rsid w:val="00BF3514"/>
    <w:rsid w:val="00BF36F2"/>
    <w:rsid w:val="00BF3F79"/>
    <w:rsid w:val="00BF3FDE"/>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822"/>
    <w:rsid w:val="00C10E4D"/>
    <w:rsid w:val="00C110FE"/>
    <w:rsid w:val="00C113FD"/>
    <w:rsid w:val="00C146C0"/>
    <w:rsid w:val="00C16D14"/>
    <w:rsid w:val="00C17609"/>
    <w:rsid w:val="00C17FD4"/>
    <w:rsid w:val="00C20098"/>
    <w:rsid w:val="00C206D5"/>
    <w:rsid w:val="00C207D9"/>
    <w:rsid w:val="00C20F92"/>
    <w:rsid w:val="00C2166C"/>
    <w:rsid w:val="00C21EBD"/>
    <w:rsid w:val="00C225A7"/>
    <w:rsid w:val="00C2378A"/>
    <w:rsid w:val="00C237F6"/>
    <w:rsid w:val="00C23A0D"/>
    <w:rsid w:val="00C24814"/>
    <w:rsid w:val="00C253E4"/>
    <w:rsid w:val="00C256DD"/>
    <w:rsid w:val="00C26051"/>
    <w:rsid w:val="00C26AFD"/>
    <w:rsid w:val="00C27026"/>
    <w:rsid w:val="00C27B55"/>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4F"/>
    <w:rsid w:val="00C43AC9"/>
    <w:rsid w:val="00C448B0"/>
    <w:rsid w:val="00C44BF9"/>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A5"/>
    <w:rsid w:val="00C53EE2"/>
    <w:rsid w:val="00C549CC"/>
    <w:rsid w:val="00C54D2E"/>
    <w:rsid w:val="00C55664"/>
    <w:rsid w:val="00C55B1D"/>
    <w:rsid w:val="00C56598"/>
    <w:rsid w:val="00C56BF7"/>
    <w:rsid w:val="00C56EA7"/>
    <w:rsid w:val="00C57112"/>
    <w:rsid w:val="00C5736E"/>
    <w:rsid w:val="00C60200"/>
    <w:rsid w:val="00C6040F"/>
    <w:rsid w:val="00C6087E"/>
    <w:rsid w:val="00C61B2B"/>
    <w:rsid w:val="00C62622"/>
    <w:rsid w:val="00C630E3"/>
    <w:rsid w:val="00C639FF"/>
    <w:rsid w:val="00C64722"/>
    <w:rsid w:val="00C64C07"/>
    <w:rsid w:val="00C65225"/>
    <w:rsid w:val="00C656A5"/>
    <w:rsid w:val="00C6581F"/>
    <w:rsid w:val="00C66B1E"/>
    <w:rsid w:val="00C66BBB"/>
    <w:rsid w:val="00C671FC"/>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1077"/>
    <w:rsid w:val="00CA1146"/>
    <w:rsid w:val="00CA13DD"/>
    <w:rsid w:val="00CA2D6E"/>
    <w:rsid w:val="00CA36C0"/>
    <w:rsid w:val="00CA4258"/>
    <w:rsid w:val="00CA4310"/>
    <w:rsid w:val="00CA43F5"/>
    <w:rsid w:val="00CA5025"/>
    <w:rsid w:val="00CA5DDA"/>
    <w:rsid w:val="00CA63ED"/>
    <w:rsid w:val="00CA7366"/>
    <w:rsid w:val="00CA7592"/>
    <w:rsid w:val="00CA76CB"/>
    <w:rsid w:val="00CA77D6"/>
    <w:rsid w:val="00CA78FA"/>
    <w:rsid w:val="00CA7EA9"/>
    <w:rsid w:val="00CB0141"/>
    <w:rsid w:val="00CB023A"/>
    <w:rsid w:val="00CB0CA8"/>
    <w:rsid w:val="00CB1566"/>
    <w:rsid w:val="00CB27AD"/>
    <w:rsid w:val="00CB2F95"/>
    <w:rsid w:val="00CB3AAE"/>
    <w:rsid w:val="00CB561E"/>
    <w:rsid w:val="00CB5D5E"/>
    <w:rsid w:val="00CB6059"/>
    <w:rsid w:val="00CB645C"/>
    <w:rsid w:val="00CB6850"/>
    <w:rsid w:val="00CB6CA6"/>
    <w:rsid w:val="00CB7F01"/>
    <w:rsid w:val="00CC0228"/>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8A7"/>
    <w:rsid w:val="00CD048F"/>
    <w:rsid w:val="00CD06DD"/>
    <w:rsid w:val="00CD09EE"/>
    <w:rsid w:val="00CD15F9"/>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2886"/>
    <w:rsid w:val="00CE3695"/>
    <w:rsid w:val="00CE37E9"/>
    <w:rsid w:val="00CE4CA5"/>
    <w:rsid w:val="00CE5F4F"/>
    <w:rsid w:val="00CE6DAA"/>
    <w:rsid w:val="00CE72ED"/>
    <w:rsid w:val="00CE7506"/>
    <w:rsid w:val="00CE7F67"/>
    <w:rsid w:val="00CF031B"/>
    <w:rsid w:val="00CF1173"/>
    <w:rsid w:val="00CF1550"/>
    <w:rsid w:val="00CF20D0"/>
    <w:rsid w:val="00CF21C6"/>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D00602"/>
    <w:rsid w:val="00D00F8C"/>
    <w:rsid w:val="00D01AAE"/>
    <w:rsid w:val="00D01BC4"/>
    <w:rsid w:val="00D02662"/>
    <w:rsid w:val="00D02BEB"/>
    <w:rsid w:val="00D02BF1"/>
    <w:rsid w:val="00D02EC5"/>
    <w:rsid w:val="00D032F8"/>
    <w:rsid w:val="00D0394A"/>
    <w:rsid w:val="00D04284"/>
    <w:rsid w:val="00D04B07"/>
    <w:rsid w:val="00D06616"/>
    <w:rsid w:val="00D06F21"/>
    <w:rsid w:val="00D072F2"/>
    <w:rsid w:val="00D073C5"/>
    <w:rsid w:val="00D07462"/>
    <w:rsid w:val="00D077D2"/>
    <w:rsid w:val="00D07806"/>
    <w:rsid w:val="00D10C39"/>
    <w:rsid w:val="00D112EE"/>
    <w:rsid w:val="00D113D8"/>
    <w:rsid w:val="00D118A6"/>
    <w:rsid w:val="00D11F75"/>
    <w:rsid w:val="00D12217"/>
    <w:rsid w:val="00D131B2"/>
    <w:rsid w:val="00D13611"/>
    <w:rsid w:val="00D140EB"/>
    <w:rsid w:val="00D14CE5"/>
    <w:rsid w:val="00D151DD"/>
    <w:rsid w:val="00D159EB"/>
    <w:rsid w:val="00D164E7"/>
    <w:rsid w:val="00D175F8"/>
    <w:rsid w:val="00D1769C"/>
    <w:rsid w:val="00D17853"/>
    <w:rsid w:val="00D17B3A"/>
    <w:rsid w:val="00D17E79"/>
    <w:rsid w:val="00D216BE"/>
    <w:rsid w:val="00D21958"/>
    <w:rsid w:val="00D219AC"/>
    <w:rsid w:val="00D21CBB"/>
    <w:rsid w:val="00D21D5D"/>
    <w:rsid w:val="00D22401"/>
    <w:rsid w:val="00D226BF"/>
    <w:rsid w:val="00D22F74"/>
    <w:rsid w:val="00D23CDA"/>
    <w:rsid w:val="00D2437C"/>
    <w:rsid w:val="00D24C31"/>
    <w:rsid w:val="00D254B5"/>
    <w:rsid w:val="00D256FA"/>
    <w:rsid w:val="00D25B2D"/>
    <w:rsid w:val="00D2691D"/>
    <w:rsid w:val="00D271BC"/>
    <w:rsid w:val="00D27EF5"/>
    <w:rsid w:val="00D305BA"/>
    <w:rsid w:val="00D30C17"/>
    <w:rsid w:val="00D30F92"/>
    <w:rsid w:val="00D32DB3"/>
    <w:rsid w:val="00D330A0"/>
    <w:rsid w:val="00D333B1"/>
    <w:rsid w:val="00D3351F"/>
    <w:rsid w:val="00D33DF1"/>
    <w:rsid w:val="00D34273"/>
    <w:rsid w:val="00D352DE"/>
    <w:rsid w:val="00D357B5"/>
    <w:rsid w:val="00D35C66"/>
    <w:rsid w:val="00D35D57"/>
    <w:rsid w:val="00D36645"/>
    <w:rsid w:val="00D3668A"/>
    <w:rsid w:val="00D36C4F"/>
    <w:rsid w:val="00D37127"/>
    <w:rsid w:val="00D37C4F"/>
    <w:rsid w:val="00D40321"/>
    <w:rsid w:val="00D40C3B"/>
    <w:rsid w:val="00D41128"/>
    <w:rsid w:val="00D41230"/>
    <w:rsid w:val="00D423B8"/>
    <w:rsid w:val="00D43C9B"/>
    <w:rsid w:val="00D4487E"/>
    <w:rsid w:val="00D45A4E"/>
    <w:rsid w:val="00D45F04"/>
    <w:rsid w:val="00D45F72"/>
    <w:rsid w:val="00D4613F"/>
    <w:rsid w:val="00D472D3"/>
    <w:rsid w:val="00D47DFF"/>
    <w:rsid w:val="00D500F2"/>
    <w:rsid w:val="00D50B88"/>
    <w:rsid w:val="00D50C14"/>
    <w:rsid w:val="00D510A9"/>
    <w:rsid w:val="00D51AFD"/>
    <w:rsid w:val="00D51B9F"/>
    <w:rsid w:val="00D523A7"/>
    <w:rsid w:val="00D52B9C"/>
    <w:rsid w:val="00D52C15"/>
    <w:rsid w:val="00D530F0"/>
    <w:rsid w:val="00D53213"/>
    <w:rsid w:val="00D5341A"/>
    <w:rsid w:val="00D538DB"/>
    <w:rsid w:val="00D53DD6"/>
    <w:rsid w:val="00D53F11"/>
    <w:rsid w:val="00D541AC"/>
    <w:rsid w:val="00D55064"/>
    <w:rsid w:val="00D5529C"/>
    <w:rsid w:val="00D559D4"/>
    <w:rsid w:val="00D55D3A"/>
    <w:rsid w:val="00D566A4"/>
    <w:rsid w:val="00D56730"/>
    <w:rsid w:val="00D5675B"/>
    <w:rsid w:val="00D5678E"/>
    <w:rsid w:val="00D5716E"/>
    <w:rsid w:val="00D57F75"/>
    <w:rsid w:val="00D60F8A"/>
    <w:rsid w:val="00D610EA"/>
    <w:rsid w:val="00D61AF5"/>
    <w:rsid w:val="00D61CAF"/>
    <w:rsid w:val="00D61CCB"/>
    <w:rsid w:val="00D62131"/>
    <w:rsid w:val="00D621B7"/>
    <w:rsid w:val="00D62C41"/>
    <w:rsid w:val="00D632A4"/>
    <w:rsid w:val="00D633FF"/>
    <w:rsid w:val="00D63443"/>
    <w:rsid w:val="00D637FE"/>
    <w:rsid w:val="00D63E28"/>
    <w:rsid w:val="00D6442B"/>
    <w:rsid w:val="00D64701"/>
    <w:rsid w:val="00D6488C"/>
    <w:rsid w:val="00D64FEC"/>
    <w:rsid w:val="00D654B9"/>
    <w:rsid w:val="00D65E1C"/>
    <w:rsid w:val="00D66F3F"/>
    <w:rsid w:val="00D70F51"/>
    <w:rsid w:val="00D712C9"/>
    <w:rsid w:val="00D733AA"/>
    <w:rsid w:val="00D74198"/>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0D01"/>
    <w:rsid w:val="00D81370"/>
    <w:rsid w:val="00D813EB"/>
    <w:rsid w:val="00D81434"/>
    <w:rsid w:val="00D83B92"/>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C3"/>
    <w:rsid w:val="00D95BD7"/>
    <w:rsid w:val="00D95EAC"/>
    <w:rsid w:val="00D95ED6"/>
    <w:rsid w:val="00D961E7"/>
    <w:rsid w:val="00D966DF"/>
    <w:rsid w:val="00D97121"/>
    <w:rsid w:val="00D97272"/>
    <w:rsid w:val="00DA0308"/>
    <w:rsid w:val="00DA0AE0"/>
    <w:rsid w:val="00DA0B7E"/>
    <w:rsid w:val="00DA17A2"/>
    <w:rsid w:val="00DA20D3"/>
    <w:rsid w:val="00DA23D3"/>
    <w:rsid w:val="00DA23F2"/>
    <w:rsid w:val="00DA2403"/>
    <w:rsid w:val="00DA2712"/>
    <w:rsid w:val="00DA2E39"/>
    <w:rsid w:val="00DA2FE2"/>
    <w:rsid w:val="00DA3920"/>
    <w:rsid w:val="00DA3C9E"/>
    <w:rsid w:val="00DA4720"/>
    <w:rsid w:val="00DA57C3"/>
    <w:rsid w:val="00DA5836"/>
    <w:rsid w:val="00DA5CB3"/>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C0291"/>
    <w:rsid w:val="00DC03C5"/>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61F0"/>
    <w:rsid w:val="00DC65DD"/>
    <w:rsid w:val="00DC75D6"/>
    <w:rsid w:val="00DC7BC8"/>
    <w:rsid w:val="00DD0D7C"/>
    <w:rsid w:val="00DD1203"/>
    <w:rsid w:val="00DD1CF8"/>
    <w:rsid w:val="00DD2070"/>
    <w:rsid w:val="00DD2499"/>
    <w:rsid w:val="00DD2832"/>
    <w:rsid w:val="00DD2AF1"/>
    <w:rsid w:val="00DD3143"/>
    <w:rsid w:val="00DD348E"/>
    <w:rsid w:val="00DD35B8"/>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360"/>
    <w:rsid w:val="00DE38FA"/>
    <w:rsid w:val="00DE436A"/>
    <w:rsid w:val="00DE4C1D"/>
    <w:rsid w:val="00DE5480"/>
    <w:rsid w:val="00DE60DC"/>
    <w:rsid w:val="00DE62F1"/>
    <w:rsid w:val="00DE6502"/>
    <w:rsid w:val="00DE6AA2"/>
    <w:rsid w:val="00DE733F"/>
    <w:rsid w:val="00DE755A"/>
    <w:rsid w:val="00DF060A"/>
    <w:rsid w:val="00DF0E15"/>
    <w:rsid w:val="00DF11DD"/>
    <w:rsid w:val="00DF22F8"/>
    <w:rsid w:val="00DF2DA7"/>
    <w:rsid w:val="00DF3598"/>
    <w:rsid w:val="00DF4CE6"/>
    <w:rsid w:val="00DF4D98"/>
    <w:rsid w:val="00DF5499"/>
    <w:rsid w:val="00DF6454"/>
    <w:rsid w:val="00DF6A2D"/>
    <w:rsid w:val="00DF6ABF"/>
    <w:rsid w:val="00DF6EA8"/>
    <w:rsid w:val="00DF784B"/>
    <w:rsid w:val="00E00200"/>
    <w:rsid w:val="00E0128F"/>
    <w:rsid w:val="00E01565"/>
    <w:rsid w:val="00E01B7E"/>
    <w:rsid w:val="00E02EEC"/>
    <w:rsid w:val="00E033A3"/>
    <w:rsid w:val="00E03859"/>
    <w:rsid w:val="00E03C0D"/>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5AD"/>
    <w:rsid w:val="00E1381C"/>
    <w:rsid w:val="00E138D7"/>
    <w:rsid w:val="00E13C63"/>
    <w:rsid w:val="00E15F25"/>
    <w:rsid w:val="00E16299"/>
    <w:rsid w:val="00E169CF"/>
    <w:rsid w:val="00E16E51"/>
    <w:rsid w:val="00E16FA5"/>
    <w:rsid w:val="00E177B8"/>
    <w:rsid w:val="00E1797F"/>
    <w:rsid w:val="00E2018D"/>
    <w:rsid w:val="00E229C0"/>
    <w:rsid w:val="00E22AB3"/>
    <w:rsid w:val="00E22F11"/>
    <w:rsid w:val="00E23CA8"/>
    <w:rsid w:val="00E23EF2"/>
    <w:rsid w:val="00E253AA"/>
    <w:rsid w:val="00E25535"/>
    <w:rsid w:val="00E255E8"/>
    <w:rsid w:val="00E2586F"/>
    <w:rsid w:val="00E25C4E"/>
    <w:rsid w:val="00E26444"/>
    <w:rsid w:val="00E26F5D"/>
    <w:rsid w:val="00E27210"/>
    <w:rsid w:val="00E27A65"/>
    <w:rsid w:val="00E30023"/>
    <w:rsid w:val="00E3041F"/>
    <w:rsid w:val="00E30489"/>
    <w:rsid w:val="00E31A4B"/>
    <w:rsid w:val="00E32931"/>
    <w:rsid w:val="00E333B3"/>
    <w:rsid w:val="00E337C9"/>
    <w:rsid w:val="00E345B7"/>
    <w:rsid w:val="00E346A8"/>
    <w:rsid w:val="00E34990"/>
    <w:rsid w:val="00E34B7D"/>
    <w:rsid w:val="00E34EDC"/>
    <w:rsid w:val="00E35936"/>
    <w:rsid w:val="00E35D6E"/>
    <w:rsid w:val="00E35E8F"/>
    <w:rsid w:val="00E3692F"/>
    <w:rsid w:val="00E36B5C"/>
    <w:rsid w:val="00E36C86"/>
    <w:rsid w:val="00E371FA"/>
    <w:rsid w:val="00E37CF6"/>
    <w:rsid w:val="00E37E01"/>
    <w:rsid w:val="00E4003F"/>
    <w:rsid w:val="00E4007C"/>
    <w:rsid w:val="00E40A87"/>
    <w:rsid w:val="00E4184E"/>
    <w:rsid w:val="00E42317"/>
    <w:rsid w:val="00E42716"/>
    <w:rsid w:val="00E428B3"/>
    <w:rsid w:val="00E42CE0"/>
    <w:rsid w:val="00E43C06"/>
    <w:rsid w:val="00E43C19"/>
    <w:rsid w:val="00E44900"/>
    <w:rsid w:val="00E44D88"/>
    <w:rsid w:val="00E44F32"/>
    <w:rsid w:val="00E44FA9"/>
    <w:rsid w:val="00E453A4"/>
    <w:rsid w:val="00E45E49"/>
    <w:rsid w:val="00E47D03"/>
    <w:rsid w:val="00E5084D"/>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59A4"/>
    <w:rsid w:val="00E56C96"/>
    <w:rsid w:val="00E57182"/>
    <w:rsid w:val="00E601AF"/>
    <w:rsid w:val="00E62355"/>
    <w:rsid w:val="00E62419"/>
    <w:rsid w:val="00E628F4"/>
    <w:rsid w:val="00E6298B"/>
    <w:rsid w:val="00E63944"/>
    <w:rsid w:val="00E64346"/>
    <w:rsid w:val="00E64AA0"/>
    <w:rsid w:val="00E64CBA"/>
    <w:rsid w:val="00E64D7E"/>
    <w:rsid w:val="00E64EFA"/>
    <w:rsid w:val="00E65D27"/>
    <w:rsid w:val="00E66427"/>
    <w:rsid w:val="00E667D6"/>
    <w:rsid w:val="00E66F12"/>
    <w:rsid w:val="00E67977"/>
    <w:rsid w:val="00E67C3F"/>
    <w:rsid w:val="00E7108F"/>
    <w:rsid w:val="00E7261C"/>
    <w:rsid w:val="00E726A1"/>
    <w:rsid w:val="00E72A18"/>
    <w:rsid w:val="00E72AF5"/>
    <w:rsid w:val="00E73045"/>
    <w:rsid w:val="00E73210"/>
    <w:rsid w:val="00E738CF"/>
    <w:rsid w:val="00E74241"/>
    <w:rsid w:val="00E74246"/>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26F2"/>
    <w:rsid w:val="00E830B3"/>
    <w:rsid w:val="00E83277"/>
    <w:rsid w:val="00E83936"/>
    <w:rsid w:val="00E83B2A"/>
    <w:rsid w:val="00E843C0"/>
    <w:rsid w:val="00E844EF"/>
    <w:rsid w:val="00E8529D"/>
    <w:rsid w:val="00E85AED"/>
    <w:rsid w:val="00E85E84"/>
    <w:rsid w:val="00E8656E"/>
    <w:rsid w:val="00E86A90"/>
    <w:rsid w:val="00E86FF3"/>
    <w:rsid w:val="00E875DC"/>
    <w:rsid w:val="00E9001F"/>
    <w:rsid w:val="00E922F9"/>
    <w:rsid w:val="00E92564"/>
    <w:rsid w:val="00E931D8"/>
    <w:rsid w:val="00E932FE"/>
    <w:rsid w:val="00E93822"/>
    <w:rsid w:val="00E94249"/>
    <w:rsid w:val="00E94365"/>
    <w:rsid w:val="00E94969"/>
    <w:rsid w:val="00E9498B"/>
    <w:rsid w:val="00E94E39"/>
    <w:rsid w:val="00E9588D"/>
    <w:rsid w:val="00E9591C"/>
    <w:rsid w:val="00E95AAA"/>
    <w:rsid w:val="00E95D4F"/>
    <w:rsid w:val="00E95F74"/>
    <w:rsid w:val="00E96F4D"/>
    <w:rsid w:val="00EA084D"/>
    <w:rsid w:val="00EA1081"/>
    <w:rsid w:val="00EA23B2"/>
    <w:rsid w:val="00EA2930"/>
    <w:rsid w:val="00EA2B06"/>
    <w:rsid w:val="00EA3206"/>
    <w:rsid w:val="00EA3421"/>
    <w:rsid w:val="00EA343F"/>
    <w:rsid w:val="00EA3F18"/>
    <w:rsid w:val="00EA3FBE"/>
    <w:rsid w:val="00EA457A"/>
    <w:rsid w:val="00EA47C0"/>
    <w:rsid w:val="00EA49AE"/>
    <w:rsid w:val="00EA4EC3"/>
    <w:rsid w:val="00EA4FCE"/>
    <w:rsid w:val="00EA5F59"/>
    <w:rsid w:val="00EA5FD6"/>
    <w:rsid w:val="00EA67DB"/>
    <w:rsid w:val="00EA6819"/>
    <w:rsid w:val="00EA6C1F"/>
    <w:rsid w:val="00EA6CD6"/>
    <w:rsid w:val="00EA71E6"/>
    <w:rsid w:val="00EA730A"/>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A1A"/>
    <w:rsid w:val="00EC1BA1"/>
    <w:rsid w:val="00EC1CC1"/>
    <w:rsid w:val="00EC1F64"/>
    <w:rsid w:val="00EC209E"/>
    <w:rsid w:val="00EC4381"/>
    <w:rsid w:val="00EC49CD"/>
    <w:rsid w:val="00EC52EC"/>
    <w:rsid w:val="00EC563C"/>
    <w:rsid w:val="00EC78D1"/>
    <w:rsid w:val="00ED03A9"/>
    <w:rsid w:val="00ED13AC"/>
    <w:rsid w:val="00ED13C8"/>
    <w:rsid w:val="00ED17D9"/>
    <w:rsid w:val="00ED181F"/>
    <w:rsid w:val="00ED1C9D"/>
    <w:rsid w:val="00ED2053"/>
    <w:rsid w:val="00ED2FCC"/>
    <w:rsid w:val="00ED3C59"/>
    <w:rsid w:val="00ED4AA4"/>
    <w:rsid w:val="00ED51AF"/>
    <w:rsid w:val="00ED711C"/>
    <w:rsid w:val="00ED724C"/>
    <w:rsid w:val="00ED750D"/>
    <w:rsid w:val="00ED7CC9"/>
    <w:rsid w:val="00ED7FFD"/>
    <w:rsid w:val="00EE14FE"/>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0BAA"/>
    <w:rsid w:val="00EF214F"/>
    <w:rsid w:val="00EF21FD"/>
    <w:rsid w:val="00EF277C"/>
    <w:rsid w:val="00EF2B9B"/>
    <w:rsid w:val="00EF2D82"/>
    <w:rsid w:val="00EF4043"/>
    <w:rsid w:val="00EF43D0"/>
    <w:rsid w:val="00EF4B58"/>
    <w:rsid w:val="00EF5472"/>
    <w:rsid w:val="00EF5599"/>
    <w:rsid w:val="00EF58BC"/>
    <w:rsid w:val="00EF5FDB"/>
    <w:rsid w:val="00EF62A9"/>
    <w:rsid w:val="00EF645D"/>
    <w:rsid w:val="00EF6A16"/>
    <w:rsid w:val="00EF6D06"/>
    <w:rsid w:val="00EF6EF4"/>
    <w:rsid w:val="00EF7B00"/>
    <w:rsid w:val="00F0092B"/>
    <w:rsid w:val="00F01208"/>
    <w:rsid w:val="00F012FE"/>
    <w:rsid w:val="00F01682"/>
    <w:rsid w:val="00F02702"/>
    <w:rsid w:val="00F02B1E"/>
    <w:rsid w:val="00F03136"/>
    <w:rsid w:val="00F03636"/>
    <w:rsid w:val="00F037FC"/>
    <w:rsid w:val="00F03A3C"/>
    <w:rsid w:val="00F04B9B"/>
    <w:rsid w:val="00F04D81"/>
    <w:rsid w:val="00F04FDB"/>
    <w:rsid w:val="00F0500D"/>
    <w:rsid w:val="00F052A4"/>
    <w:rsid w:val="00F0540C"/>
    <w:rsid w:val="00F05B68"/>
    <w:rsid w:val="00F06031"/>
    <w:rsid w:val="00F0761C"/>
    <w:rsid w:val="00F07762"/>
    <w:rsid w:val="00F10252"/>
    <w:rsid w:val="00F10859"/>
    <w:rsid w:val="00F10C0F"/>
    <w:rsid w:val="00F11E65"/>
    <w:rsid w:val="00F12365"/>
    <w:rsid w:val="00F12706"/>
    <w:rsid w:val="00F12D1A"/>
    <w:rsid w:val="00F131FA"/>
    <w:rsid w:val="00F13A36"/>
    <w:rsid w:val="00F13F1D"/>
    <w:rsid w:val="00F14C71"/>
    <w:rsid w:val="00F1677B"/>
    <w:rsid w:val="00F17026"/>
    <w:rsid w:val="00F17544"/>
    <w:rsid w:val="00F2087F"/>
    <w:rsid w:val="00F20E86"/>
    <w:rsid w:val="00F21876"/>
    <w:rsid w:val="00F2197C"/>
    <w:rsid w:val="00F21DBC"/>
    <w:rsid w:val="00F22267"/>
    <w:rsid w:val="00F22648"/>
    <w:rsid w:val="00F22A01"/>
    <w:rsid w:val="00F235B7"/>
    <w:rsid w:val="00F23AE9"/>
    <w:rsid w:val="00F240BC"/>
    <w:rsid w:val="00F24511"/>
    <w:rsid w:val="00F25A6F"/>
    <w:rsid w:val="00F26F77"/>
    <w:rsid w:val="00F27404"/>
    <w:rsid w:val="00F27944"/>
    <w:rsid w:val="00F27B2E"/>
    <w:rsid w:val="00F27BA2"/>
    <w:rsid w:val="00F27C65"/>
    <w:rsid w:val="00F306A4"/>
    <w:rsid w:val="00F308E6"/>
    <w:rsid w:val="00F309B3"/>
    <w:rsid w:val="00F30ACE"/>
    <w:rsid w:val="00F30DC3"/>
    <w:rsid w:val="00F31177"/>
    <w:rsid w:val="00F319B5"/>
    <w:rsid w:val="00F31C57"/>
    <w:rsid w:val="00F34758"/>
    <w:rsid w:val="00F34D38"/>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EA0"/>
    <w:rsid w:val="00F56170"/>
    <w:rsid w:val="00F565D3"/>
    <w:rsid w:val="00F57134"/>
    <w:rsid w:val="00F60307"/>
    <w:rsid w:val="00F603BA"/>
    <w:rsid w:val="00F6049D"/>
    <w:rsid w:val="00F608DA"/>
    <w:rsid w:val="00F6159A"/>
    <w:rsid w:val="00F61D85"/>
    <w:rsid w:val="00F6217E"/>
    <w:rsid w:val="00F62628"/>
    <w:rsid w:val="00F62935"/>
    <w:rsid w:val="00F62D97"/>
    <w:rsid w:val="00F62DBA"/>
    <w:rsid w:val="00F63970"/>
    <w:rsid w:val="00F64566"/>
    <w:rsid w:val="00F64D7A"/>
    <w:rsid w:val="00F657AC"/>
    <w:rsid w:val="00F6696D"/>
    <w:rsid w:val="00F6781A"/>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DB"/>
    <w:rsid w:val="00F82B8D"/>
    <w:rsid w:val="00F83FB3"/>
    <w:rsid w:val="00F8439A"/>
    <w:rsid w:val="00F84CE0"/>
    <w:rsid w:val="00F84FE3"/>
    <w:rsid w:val="00F85191"/>
    <w:rsid w:val="00F85198"/>
    <w:rsid w:val="00F85692"/>
    <w:rsid w:val="00F85C1F"/>
    <w:rsid w:val="00F86F20"/>
    <w:rsid w:val="00F904AD"/>
    <w:rsid w:val="00F90BE0"/>
    <w:rsid w:val="00F91DB1"/>
    <w:rsid w:val="00F924F6"/>
    <w:rsid w:val="00F92D04"/>
    <w:rsid w:val="00F936E0"/>
    <w:rsid w:val="00F9465D"/>
    <w:rsid w:val="00F94873"/>
    <w:rsid w:val="00F94B6E"/>
    <w:rsid w:val="00F9596D"/>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DCB"/>
    <w:rsid w:val="00FA3233"/>
    <w:rsid w:val="00FA3562"/>
    <w:rsid w:val="00FA424F"/>
    <w:rsid w:val="00FA4316"/>
    <w:rsid w:val="00FA4959"/>
    <w:rsid w:val="00FA5632"/>
    <w:rsid w:val="00FA5A6B"/>
    <w:rsid w:val="00FA5D21"/>
    <w:rsid w:val="00FA5F37"/>
    <w:rsid w:val="00FA62C7"/>
    <w:rsid w:val="00FA69B8"/>
    <w:rsid w:val="00FA6BB8"/>
    <w:rsid w:val="00FA723B"/>
    <w:rsid w:val="00FA7CA5"/>
    <w:rsid w:val="00FA7D24"/>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3B87"/>
    <w:rsid w:val="00FC3D2D"/>
    <w:rsid w:val="00FC5743"/>
    <w:rsid w:val="00FC583B"/>
    <w:rsid w:val="00FC64B9"/>
    <w:rsid w:val="00FC673D"/>
    <w:rsid w:val="00FC6C70"/>
    <w:rsid w:val="00FC7FD6"/>
    <w:rsid w:val="00FD0308"/>
    <w:rsid w:val="00FD033A"/>
    <w:rsid w:val="00FD1060"/>
    <w:rsid w:val="00FD12C0"/>
    <w:rsid w:val="00FD18BB"/>
    <w:rsid w:val="00FD1B9D"/>
    <w:rsid w:val="00FD1F7F"/>
    <w:rsid w:val="00FD2882"/>
    <w:rsid w:val="00FD2C7F"/>
    <w:rsid w:val="00FD2C9E"/>
    <w:rsid w:val="00FD3592"/>
    <w:rsid w:val="00FD432D"/>
    <w:rsid w:val="00FD4857"/>
    <w:rsid w:val="00FD4A69"/>
    <w:rsid w:val="00FD4C03"/>
    <w:rsid w:val="00FD525C"/>
    <w:rsid w:val="00FD5581"/>
    <w:rsid w:val="00FD56B7"/>
    <w:rsid w:val="00FD5A2D"/>
    <w:rsid w:val="00FD6620"/>
    <w:rsid w:val="00FD6653"/>
    <w:rsid w:val="00FD6F63"/>
    <w:rsid w:val="00FE0B65"/>
    <w:rsid w:val="00FE2FB0"/>
    <w:rsid w:val="00FE3608"/>
    <w:rsid w:val="00FE413C"/>
    <w:rsid w:val="00FE461C"/>
    <w:rsid w:val="00FE4BB0"/>
    <w:rsid w:val="00FE4D5F"/>
    <w:rsid w:val="00FE4D7E"/>
    <w:rsid w:val="00FE5D1A"/>
    <w:rsid w:val="00FE7122"/>
    <w:rsid w:val="00FE7BD8"/>
    <w:rsid w:val="00FE7E00"/>
    <w:rsid w:val="00FF046C"/>
    <w:rsid w:val="00FF1404"/>
    <w:rsid w:val="00FF237C"/>
    <w:rsid w:val="00FF2412"/>
    <w:rsid w:val="00FF390E"/>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0488A"/>
  <w15:chartTrackingRefBased/>
  <w15:docId w15:val="{FD271E52-5676-45CB-AE78-6A54FECC1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eader" Target="header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3" ma:contentTypeDescription="Crée un document." ma:contentTypeScope="" ma:versionID="32e8bc0e57ecaeae2fa505a4c07d51c0">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7c4df0f0649addd465bcc0dc1746667"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CCD013-AAA8-43B1-83D6-4A71C1B48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16435</TotalTime>
  <Pages>1</Pages>
  <Words>3737</Words>
  <Characters>21304</Characters>
  <Application>Microsoft Office Word</Application>
  <DocSecurity>4</DocSecurity>
  <Lines>177</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779</cp:revision>
  <dcterms:created xsi:type="dcterms:W3CDTF">2022-03-10T18:37:00Z</dcterms:created>
  <dcterms:modified xsi:type="dcterms:W3CDTF">2022-05-17T18:34:00Z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ies>
</file>